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E3B" w:rsidRPr="0021235C" w:rsidRDefault="00DF5E3B" w:rsidP="00DF5E3B">
      <w:pPr>
        <w:rPr>
          <w:sz w:val="20"/>
          <w:u w:val="single"/>
        </w:rPr>
      </w:pPr>
      <w:r w:rsidRPr="0021235C">
        <w:rPr>
          <w:sz w:val="20"/>
          <w:u w:val="single"/>
        </w:rPr>
        <w:t>GRUPO HDPE LISAS</w:t>
      </w:r>
    </w:p>
    <w:p w:rsidR="00DF5E3B" w:rsidRDefault="00DF5E3B" w:rsidP="00DF5E3B">
      <w:pPr>
        <w:rPr>
          <w:rFonts w:cstheme="minorHAnsi"/>
          <w:color w:val="000000" w:themeColor="text1"/>
          <w:sz w:val="20"/>
        </w:rPr>
      </w:pPr>
      <w:r>
        <w:rPr>
          <w:rFonts w:cstheme="minorHAnsi"/>
          <w:color w:val="000000" w:themeColor="text1"/>
          <w:sz w:val="20"/>
        </w:rPr>
        <w:t>Este grupo de tuberías comprende las tuberías HDPE lisas, dentro de este ítem se indica las especificaciones técnicas de las siguientes subcategorías</w:t>
      </w:r>
    </w:p>
    <w:p w:rsidR="00DF5E3B" w:rsidRPr="00682DE9" w:rsidRDefault="00DF5E3B" w:rsidP="00DF5E3B">
      <w:pPr>
        <w:numPr>
          <w:ilvl w:val="0"/>
          <w:numId w:val="3"/>
        </w:numPr>
        <w:ind w:left="426"/>
        <w:contextualSpacing/>
      </w:pPr>
      <w:r w:rsidRPr="00682DE9">
        <w:rPr>
          <w:rFonts w:cstheme="minorHAnsi"/>
          <w:color w:val="000000" w:themeColor="text1"/>
          <w:sz w:val="20"/>
        </w:rPr>
        <w:t>Subcategoría 805</w:t>
      </w:r>
      <w:r>
        <w:rPr>
          <w:rFonts w:cstheme="minorHAnsi"/>
          <w:color w:val="000000" w:themeColor="text1"/>
          <w:sz w:val="20"/>
        </w:rPr>
        <w:t>.J</w:t>
      </w:r>
      <w:r w:rsidRPr="00682DE9">
        <w:rPr>
          <w:rFonts w:cstheme="minorHAnsi"/>
          <w:color w:val="000000" w:themeColor="text1"/>
          <w:sz w:val="20"/>
        </w:rPr>
        <w:t>: Tubería HDPE</w:t>
      </w:r>
      <w:r>
        <w:rPr>
          <w:rFonts w:cstheme="minorHAnsi"/>
          <w:color w:val="000000" w:themeColor="text1"/>
          <w:sz w:val="20"/>
        </w:rPr>
        <w:t xml:space="preserve"> Lisa Ø28”</w:t>
      </w:r>
      <w:r w:rsidRPr="00682DE9">
        <w:rPr>
          <w:rFonts w:cstheme="minorHAnsi"/>
          <w:color w:val="000000" w:themeColor="text1"/>
          <w:sz w:val="20"/>
        </w:rPr>
        <w:t xml:space="preserve"> (</w:t>
      </w:r>
      <w:r>
        <w:rPr>
          <w:rFonts w:cstheme="minorHAnsi"/>
          <w:color w:val="000000" w:themeColor="text1"/>
          <w:sz w:val="20"/>
        </w:rPr>
        <w:t>Suministro e Instalación</w:t>
      </w:r>
      <w:r w:rsidRPr="00682DE9">
        <w:rPr>
          <w:rFonts w:cstheme="minorHAnsi"/>
          <w:color w:val="000000" w:themeColor="text1"/>
          <w:sz w:val="20"/>
        </w:rPr>
        <w:t>)</w:t>
      </w:r>
    </w:p>
    <w:p w:rsidR="00DF5E3B" w:rsidRPr="00184E28" w:rsidRDefault="00DF5E3B" w:rsidP="00DF5E3B">
      <w:pPr>
        <w:pStyle w:val="Prrafodelista"/>
        <w:numPr>
          <w:ilvl w:val="0"/>
          <w:numId w:val="5"/>
        </w:numPr>
        <w:rPr>
          <w:rFonts w:cstheme="minorHAnsi"/>
          <w:b/>
          <w:bCs/>
          <w:sz w:val="20"/>
        </w:rPr>
      </w:pPr>
      <w:r w:rsidRPr="00184E28">
        <w:rPr>
          <w:rFonts w:cstheme="minorHAnsi"/>
          <w:b/>
          <w:bCs/>
          <w:sz w:val="20"/>
        </w:rPr>
        <w:t>Descripción</w:t>
      </w:r>
    </w:p>
    <w:p w:rsidR="00DF5E3B" w:rsidRPr="008F5F4A" w:rsidRDefault="00DF5E3B" w:rsidP="00DF5E3B">
      <w:pPr>
        <w:ind w:left="360"/>
        <w:rPr>
          <w:rFonts w:cstheme="minorHAnsi"/>
          <w:bCs/>
          <w:sz w:val="20"/>
        </w:rPr>
      </w:pPr>
      <w:r w:rsidRPr="008F5F4A">
        <w:rPr>
          <w:rFonts w:cstheme="minorHAnsi"/>
          <w:bCs/>
          <w:sz w:val="20"/>
        </w:rPr>
        <w:t>Las presentes especificaciones técnicas corresponden al Suministro, Instalación y Puesta en Servicio de Tuberías y Accesorios de Polietileno de Alta Densidad (HDPE) para líneas de agua.  Dichas tuberías deberán cumplir la Norma Técnica Nacional ISO 4427</w:t>
      </w:r>
    </w:p>
    <w:p w:rsidR="00962061" w:rsidRDefault="00DF5E3B" w:rsidP="00962061">
      <w:pPr>
        <w:ind w:left="360"/>
        <w:rPr>
          <w:rFonts w:cstheme="minorHAnsi"/>
          <w:bCs/>
          <w:sz w:val="20"/>
        </w:rPr>
      </w:pPr>
      <w:r w:rsidRPr="008F5F4A">
        <w:rPr>
          <w:rFonts w:cstheme="minorHAnsi"/>
          <w:bCs/>
          <w:sz w:val="20"/>
        </w:rPr>
        <w:t>Para especificar la tubería se indica el diámetro nominal (que en este caso coincide con el diámetro exterior de la tubería, en milímetros), la presión nominal (PN) en bares y el polietileno a utilizar (PE80 o PE100). Al igual que en ASTM la presión nominal define un SDR (Factor de Rigidez o Relación Dimensional Estandarizada), que es el equivalente al cociente del diámetro exterior y el espesor del tubo.</w:t>
      </w:r>
    </w:p>
    <w:p w:rsidR="00962061" w:rsidRDefault="00962061" w:rsidP="00962061">
      <w:pPr>
        <w:ind w:left="360"/>
        <w:rPr>
          <w:rFonts w:cstheme="minorHAnsi"/>
          <w:bCs/>
          <w:sz w:val="20"/>
        </w:rPr>
      </w:pPr>
      <w:r w:rsidRPr="0094055C">
        <w:rPr>
          <w:rFonts w:cstheme="minorHAnsi"/>
          <w:bCs/>
          <w:sz w:val="20"/>
        </w:rPr>
        <w:t>Las características de la tubería se encuentran en los planos.</w:t>
      </w:r>
      <w:r>
        <w:rPr>
          <w:rFonts w:cstheme="minorHAnsi"/>
          <w:bCs/>
          <w:sz w:val="20"/>
        </w:rPr>
        <w:t xml:space="preserve"> </w:t>
      </w:r>
    </w:p>
    <w:p w:rsidR="00700CFC" w:rsidRDefault="00700CFC" w:rsidP="00700CFC">
      <w:pPr>
        <w:ind w:left="360"/>
        <w:jc w:val="center"/>
        <w:rPr>
          <w:rFonts w:cstheme="minorHAnsi"/>
          <w:bCs/>
          <w:sz w:val="20"/>
        </w:rPr>
      </w:pPr>
      <w:r>
        <w:rPr>
          <w:noProof/>
        </w:rPr>
        <w:drawing>
          <wp:inline distT="0" distB="0" distL="0" distR="0" wp14:anchorId="09401A0F" wp14:editId="53FE2BD4">
            <wp:extent cx="2647039" cy="1843585"/>
            <wp:effectExtent l="0" t="0" r="127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59024" cy="1851932"/>
                    </a:xfrm>
                    <a:prstGeom prst="rect">
                      <a:avLst/>
                    </a:prstGeom>
                  </pic:spPr>
                </pic:pic>
              </a:graphicData>
            </a:graphic>
          </wp:inline>
        </w:drawing>
      </w:r>
    </w:p>
    <w:tbl>
      <w:tblPr>
        <w:tblW w:w="10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709"/>
        <w:gridCol w:w="850"/>
        <w:gridCol w:w="850"/>
        <w:gridCol w:w="850"/>
        <w:gridCol w:w="851"/>
        <w:gridCol w:w="992"/>
        <w:gridCol w:w="851"/>
        <w:gridCol w:w="850"/>
        <w:gridCol w:w="709"/>
        <w:gridCol w:w="850"/>
        <w:gridCol w:w="851"/>
      </w:tblGrid>
      <w:tr w:rsidR="00962061" w:rsidRPr="00E43F8A" w:rsidTr="00EA539B">
        <w:trPr>
          <w:cantSplit/>
          <w:jc w:val="center"/>
        </w:trPr>
        <w:tc>
          <w:tcPr>
            <w:tcW w:w="1271" w:type="dxa"/>
            <w:vMerge w:val="restart"/>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Ø</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 xml:space="preserve"> Referencial</w:t>
            </w:r>
            <w:r>
              <w:rPr>
                <w:rFonts w:asciiTheme="majorHAnsi" w:hAnsiTheme="majorHAnsi" w:cstheme="majorHAnsi"/>
                <w:b/>
                <w:sz w:val="18"/>
                <w:szCs w:val="18"/>
                <w:lang w:val="es-ES_tradnl"/>
              </w:rPr>
              <w:t xml:space="preserve"> DN</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 xml:space="preserve"> (</w:t>
            </w:r>
            <w:proofErr w:type="spellStart"/>
            <w:r w:rsidRPr="00E43F8A">
              <w:rPr>
                <w:rFonts w:asciiTheme="majorHAnsi" w:hAnsiTheme="majorHAnsi" w:cstheme="majorHAnsi"/>
                <w:b/>
                <w:sz w:val="18"/>
                <w:szCs w:val="18"/>
                <w:lang w:val="es-ES_tradnl"/>
              </w:rPr>
              <w:t>plg</w:t>
            </w:r>
            <w:proofErr w:type="spellEnd"/>
            <w:r w:rsidRPr="00E43F8A">
              <w:rPr>
                <w:rFonts w:asciiTheme="majorHAnsi" w:hAnsiTheme="majorHAnsi" w:cstheme="majorHAnsi"/>
                <w:b/>
                <w:sz w:val="18"/>
                <w:szCs w:val="18"/>
                <w:lang w:val="es-ES_tradnl"/>
              </w:rPr>
              <w:t>)</w:t>
            </w:r>
          </w:p>
        </w:tc>
        <w:tc>
          <w:tcPr>
            <w:tcW w:w="709" w:type="dxa"/>
            <w:vMerge w:val="restart"/>
            <w:vAlign w:val="center"/>
          </w:tcPr>
          <w:p w:rsidR="00962061"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Ø ext.</w:t>
            </w:r>
          </w:p>
          <w:p w:rsidR="00962061" w:rsidRDefault="00962061" w:rsidP="003D1EB5">
            <w:pPr>
              <w:pStyle w:val="para"/>
              <w:spacing w:after="0"/>
              <w:jc w:val="center"/>
              <w:rPr>
                <w:rFonts w:asciiTheme="majorHAnsi" w:hAnsiTheme="majorHAnsi" w:cstheme="majorHAnsi"/>
                <w:b/>
                <w:sz w:val="18"/>
                <w:szCs w:val="18"/>
                <w:lang w:val="es-ES_tradnl"/>
              </w:rPr>
            </w:pPr>
            <w:r>
              <w:rPr>
                <w:rFonts w:asciiTheme="majorHAnsi" w:hAnsiTheme="majorHAnsi" w:cstheme="majorHAnsi"/>
                <w:b/>
                <w:sz w:val="18"/>
                <w:szCs w:val="18"/>
                <w:lang w:val="es-ES_tradnl"/>
              </w:rPr>
              <w:t>DN</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(mm)</w:t>
            </w:r>
          </w:p>
        </w:tc>
        <w:tc>
          <w:tcPr>
            <w:tcW w:w="1700" w:type="dxa"/>
            <w:gridSpan w:val="2"/>
          </w:tcPr>
          <w:p w:rsidR="00962061" w:rsidRPr="00C73508" w:rsidRDefault="00962061" w:rsidP="00962061">
            <w:pPr>
              <w:pStyle w:val="para"/>
              <w:spacing w:after="0"/>
              <w:jc w:val="center"/>
              <w:rPr>
                <w:rFonts w:asciiTheme="majorHAnsi" w:hAnsiTheme="majorHAnsi" w:cstheme="majorHAnsi"/>
                <w:b/>
                <w:sz w:val="18"/>
                <w:szCs w:val="18"/>
                <w:highlight w:val="yellow"/>
                <w:lang w:val="es-ES_tradnl"/>
              </w:rPr>
            </w:pPr>
            <w:bookmarkStart w:id="0" w:name="_GoBack"/>
            <w:bookmarkEnd w:id="0"/>
            <w:r w:rsidRPr="00C73508">
              <w:rPr>
                <w:rFonts w:asciiTheme="majorHAnsi" w:hAnsiTheme="majorHAnsi" w:cstheme="majorHAnsi"/>
                <w:b/>
                <w:sz w:val="18"/>
                <w:szCs w:val="18"/>
                <w:highlight w:val="yellow"/>
                <w:lang w:val="es-ES_tradnl"/>
              </w:rPr>
              <w:t xml:space="preserve">SERIE – </w:t>
            </w:r>
            <w:r w:rsidR="00AB6DA3" w:rsidRPr="00C73508">
              <w:rPr>
                <w:rFonts w:asciiTheme="majorHAnsi" w:hAnsiTheme="majorHAnsi" w:cstheme="majorHAnsi"/>
                <w:b/>
                <w:sz w:val="18"/>
                <w:szCs w:val="18"/>
                <w:highlight w:val="yellow"/>
                <w:lang w:val="es-ES_tradnl"/>
              </w:rPr>
              <w:t>33</w:t>
            </w:r>
          </w:p>
          <w:p w:rsidR="00962061" w:rsidRPr="00E43F8A" w:rsidRDefault="00962061" w:rsidP="00962061">
            <w:pPr>
              <w:pStyle w:val="para"/>
              <w:spacing w:after="0"/>
              <w:jc w:val="center"/>
              <w:rPr>
                <w:rFonts w:asciiTheme="majorHAnsi" w:hAnsiTheme="majorHAnsi" w:cstheme="majorHAnsi"/>
                <w:b/>
                <w:sz w:val="18"/>
                <w:szCs w:val="18"/>
                <w:lang w:val="es-ES_tradnl"/>
              </w:rPr>
            </w:pPr>
            <w:r w:rsidRPr="00C73508">
              <w:rPr>
                <w:rFonts w:asciiTheme="majorHAnsi" w:hAnsiTheme="majorHAnsi" w:cstheme="majorHAnsi"/>
                <w:b/>
                <w:sz w:val="18"/>
                <w:szCs w:val="18"/>
                <w:highlight w:val="yellow"/>
                <w:lang w:val="es-ES_tradnl"/>
              </w:rPr>
              <w:t>PN-</w:t>
            </w:r>
            <w:r w:rsidR="00AB6DA3" w:rsidRPr="00C73508">
              <w:rPr>
                <w:rFonts w:asciiTheme="majorHAnsi" w:hAnsiTheme="majorHAnsi" w:cstheme="majorHAnsi"/>
                <w:b/>
                <w:sz w:val="18"/>
                <w:szCs w:val="18"/>
                <w:highlight w:val="yellow"/>
                <w:lang w:val="es-ES_tradnl"/>
              </w:rPr>
              <w:t>4</w:t>
            </w:r>
          </w:p>
        </w:tc>
        <w:tc>
          <w:tcPr>
            <w:tcW w:w="1701" w:type="dxa"/>
            <w:gridSpan w:val="2"/>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SERIE – 21</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PN-6</w:t>
            </w:r>
          </w:p>
        </w:tc>
        <w:tc>
          <w:tcPr>
            <w:tcW w:w="1843" w:type="dxa"/>
            <w:gridSpan w:val="2"/>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SERIE – 13.6</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PN – 10</w:t>
            </w:r>
          </w:p>
        </w:tc>
        <w:tc>
          <w:tcPr>
            <w:tcW w:w="1559" w:type="dxa"/>
            <w:gridSpan w:val="2"/>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SERIE – 9</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PN – 16</w:t>
            </w:r>
          </w:p>
        </w:tc>
        <w:tc>
          <w:tcPr>
            <w:tcW w:w="1701" w:type="dxa"/>
            <w:gridSpan w:val="2"/>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SERIE – 6</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PN - 25</w:t>
            </w:r>
          </w:p>
        </w:tc>
      </w:tr>
      <w:tr w:rsidR="00962061" w:rsidRPr="00E43F8A" w:rsidTr="00962061">
        <w:trPr>
          <w:cantSplit/>
          <w:jc w:val="center"/>
        </w:trPr>
        <w:tc>
          <w:tcPr>
            <w:tcW w:w="1271" w:type="dxa"/>
            <w:vMerge/>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p>
        </w:tc>
        <w:tc>
          <w:tcPr>
            <w:tcW w:w="709" w:type="dxa"/>
            <w:vMerge/>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p>
        </w:tc>
        <w:tc>
          <w:tcPr>
            <w:tcW w:w="850" w:type="dxa"/>
          </w:tcPr>
          <w:p w:rsidR="00962061" w:rsidRPr="00E43F8A" w:rsidRDefault="00962061" w:rsidP="00962061">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PESO</w:t>
            </w:r>
          </w:p>
          <w:p w:rsidR="00962061" w:rsidRPr="00E43F8A" w:rsidRDefault="00962061" w:rsidP="00962061">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(kg/m)</w:t>
            </w:r>
          </w:p>
        </w:tc>
        <w:tc>
          <w:tcPr>
            <w:tcW w:w="850" w:type="dxa"/>
          </w:tcPr>
          <w:p w:rsidR="00962061" w:rsidRPr="00E43F8A" w:rsidRDefault="00962061" w:rsidP="00962061">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e</w:t>
            </w:r>
          </w:p>
          <w:p w:rsidR="00962061" w:rsidRPr="00E43F8A" w:rsidRDefault="00962061" w:rsidP="00962061">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(mm)</w:t>
            </w:r>
          </w:p>
        </w:tc>
        <w:tc>
          <w:tcPr>
            <w:tcW w:w="850"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PESO</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(kg/m)</w:t>
            </w:r>
          </w:p>
        </w:tc>
        <w:tc>
          <w:tcPr>
            <w:tcW w:w="851"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e</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(mm)</w:t>
            </w:r>
          </w:p>
        </w:tc>
        <w:tc>
          <w:tcPr>
            <w:tcW w:w="992"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PESO</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(kg/m)</w:t>
            </w:r>
          </w:p>
        </w:tc>
        <w:tc>
          <w:tcPr>
            <w:tcW w:w="851"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e</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(mm)</w:t>
            </w:r>
          </w:p>
        </w:tc>
        <w:tc>
          <w:tcPr>
            <w:tcW w:w="850"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PESO</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(kg/m)</w:t>
            </w:r>
          </w:p>
        </w:tc>
        <w:tc>
          <w:tcPr>
            <w:tcW w:w="709"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e</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(mm)</w:t>
            </w:r>
          </w:p>
        </w:tc>
        <w:tc>
          <w:tcPr>
            <w:tcW w:w="850"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PESO</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(kg/m)</w:t>
            </w:r>
          </w:p>
        </w:tc>
        <w:tc>
          <w:tcPr>
            <w:tcW w:w="851" w:type="dxa"/>
            <w:vAlign w:val="center"/>
          </w:tcPr>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e</w:t>
            </w:r>
          </w:p>
          <w:p w:rsidR="00962061" w:rsidRPr="00E43F8A" w:rsidRDefault="00962061" w:rsidP="003D1EB5">
            <w:pPr>
              <w:pStyle w:val="para"/>
              <w:spacing w:after="0"/>
              <w:jc w:val="center"/>
              <w:rPr>
                <w:rFonts w:asciiTheme="majorHAnsi" w:hAnsiTheme="majorHAnsi" w:cstheme="majorHAnsi"/>
                <w:b/>
                <w:sz w:val="18"/>
                <w:szCs w:val="18"/>
                <w:lang w:val="es-ES_tradnl"/>
              </w:rPr>
            </w:pPr>
            <w:r w:rsidRPr="00E43F8A">
              <w:rPr>
                <w:rFonts w:asciiTheme="majorHAnsi" w:hAnsiTheme="majorHAnsi" w:cstheme="majorHAnsi"/>
                <w:b/>
                <w:sz w:val="18"/>
                <w:szCs w:val="18"/>
                <w:lang w:val="es-ES_tradnl"/>
              </w:rPr>
              <w:t>(mm)</w:t>
            </w:r>
          </w:p>
        </w:tc>
      </w:tr>
      <w:tr w:rsidR="00962061" w:rsidRPr="00E43F8A" w:rsidTr="00962061">
        <w:trPr>
          <w:jc w:val="center"/>
        </w:trPr>
        <w:tc>
          <w:tcPr>
            <w:tcW w:w="127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63</w:t>
            </w:r>
          </w:p>
        </w:tc>
        <w:tc>
          <w:tcPr>
            <w:tcW w:w="850" w:type="dxa"/>
          </w:tcPr>
          <w:p w:rsidR="00962061" w:rsidRPr="00E43F8A" w:rsidRDefault="00AB6DA3"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962061" w:rsidRPr="00E43F8A" w:rsidRDefault="00AB6DA3"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0.58</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3.0</w:t>
            </w:r>
          </w:p>
        </w:tc>
        <w:tc>
          <w:tcPr>
            <w:tcW w:w="992"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0.88</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4.7</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1.27</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7.1</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1.77</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10.5</w:t>
            </w:r>
          </w:p>
        </w:tc>
      </w:tr>
      <w:tr w:rsidR="00962061" w:rsidRPr="00E43F8A" w:rsidTr="00962061">
        <w:trPr>
          <w:jc w:val="center"/>
        </w:trPr>
        <w:tc>
          <w:tcPr>
            <w:tcW w:w="127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 ½</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75</w:t>
            </w:r>
          </w:p>
        </w:tc>
        <w:tc>
          <w:tcPr>
            <w:tcW w:w="850" w:type="dxa"/>
          </w:tcPr>
          <w:p w:rsidR="00962061" w:rsidRPr="00E43F8A" w:rsidRDefault="00AB6DA3"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962061" w:rsidRPr="00E43F8A" w:rsidRDefault="00AB6DA3"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0.82</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3.6</w:t>
            </w:r>
          </w:p>
        </w:tc>
        <w:tc>
          <w:tcPr>
            <w:tcW w:w="992"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1.25</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5.6</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1.79</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8.4</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2.5</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12.5</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90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1.18</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4.3</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1.79</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6.7</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2.59</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10.1</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3.61</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15.0</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110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1.78</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5.3</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2.64</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8.1</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3.85</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12.3</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5.38</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18.3</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6</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160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3.76</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7.7</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5.60</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11.8</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8.15</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17.9</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11.37</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26.6</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8</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200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5.86</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9.6</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8.73</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14.7</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12.75</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22.4</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17.75</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33.2</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10</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250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9.08</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11.9</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13.65</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18.4</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19.86</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27.9</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27.73</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41.5</w:t>
            </w:r>
          </w:p>
        </w:tc>
      </w:tr>
      <w:tr w:rsidR="00962061" w:rsidRPr="00E43F8A" w:rsidTr="00962061">
        <w:trPr>
          <w:jc w:val="center"/>
        </w:trPr>
        <w:tc>
          <w:tcPr>
            <w:tcW w:w="127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12</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315</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9.34</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9.7</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14.42</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15.0</w:t>
            </w:r>
          </w:p>
        </w:tc>
        <w:tc>
          <w:tcPr>
            <w:tcW w:w="992"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21.69</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23.2</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31.56</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35.2</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44.04</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52.3</w:t>
            </w:r>
          </w:p>
        </w:tc>
      </w:tr>
      <w:tr w:rsidR="00962061" w:rsidRPr="00E43F8A" w:rsidTr="00962061">
        <w:trPr>
          <w:jc w:val="center"/>
        </w:trPr>
        <w:tc>
          <w:tcPr>
            <w:tcW w:w="127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14</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355</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11.81</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10.9</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18.31</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16.9</w:t>
            </w:r>
          </w:p>
        </w:tc>
        <w:tc>
          <w:tcPr>
            <w:tcW w:w="992"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27.51</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26.1</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40.11</w:t>
            </w:r>
          </w:p>
        </w:tc>
        <w:tc>
          <w:tcPr>
            <w:tcW w:w="709"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39.7</w:t>
            </w:r>
          </w:p>
        </w:tc>
        <w:tc>
          <w:tcPr>
            <w:tcW w:w="850"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55.98</w:t>
            </w:r>
          </w:p>
        </w:tc>
        <w:tc>
          <w:tcPr>
            <w:tcW w:w="851" w:type="dxa"/>
          </w:tcPr>
          <w:p w:rsidR="00962061" w:rsidRPr="00E43F8A" w:rsidRDefault="00962061" w:rsidP="003D1EB5">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59.0</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16</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400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15.01</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12.3</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23.31</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19.1</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34.91</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29.4</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50.89</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44.7</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r>
      <w:tr w:rsidR="00AB6DA3" w:rsidRPr="00E43F8A" w:rsidTr="00962061">
        <w:trPr>
          <w:jc w:val="center"/>
        </w:trPr>
        <w:tc>
          <w:tcPr>
            <w:tcW w:w="127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18</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450</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18.94</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13.8</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29.51</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21.5</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44.21</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33.1</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64.42</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sidRPr="00E43F8A">
              <w:rPr>
                <w:rFonts w:asciiTheme="majorHAnsi" w:hAnsiTheme="majorHAnsi" w:cstheme="majorHAnsi"/>
                <w:sz w:val="18"/>
                <w:szCs w:val="18"/>
                <w:lang w:val="es-ES_tradnl"/>
              </w:rPr>
              <w:t>50.3</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r>
      <w:tr w:rsidR="00AB6DA3" w:rsidRPr="00E43F8A" w:rsidTr="00962061">
        <w:trPr>
          <w:jc w:val="center"/>
        </w:trPr>
        <w:tc>
          <w:tcPr>
            <w:tcW w:w="1271" w:type="dxa"/>
          </w:tcPr>
          <w:p w:rsidR="00AB6DA3" w:rsidRPr="004D462B" w:rsidRDefault="00AB6DA3" w:rsidP="00AB6DA3">
            <w:pPr>
              <w:pStyle w:val="para"/>
              <w:spacing w:before="60" w:after="60"/>
              <w:jc w:val="center"/>
              <w:rPr>
                <w:rFonts w:asciiTheme="majorHAnsi" w:hAnsiTheme="majorHAnsi" w:cstheme="majorHAnsi"/>
                <w:sz w:val="18"/>
                <w:szCs w:val="18"/>
                <w:highlight w:val="yellow"/>
                <w:lang w:val="es-ES_tradnl"/>
              </w:rPr>
            </w:pPr>
            <w:r w:rsidRPr="004D462B">
              <w:rPr>
                <w:rFonts w:asciiTheme="majorHAnsi" w:hAnsiTheme="majorHAnsi" w:cstheme="majorHAnsi"/>
                <w:sz w:val="18"/>
                <w:szCs w:val="18"/>
                <w:highlight w:val="yellow"/>
                <w:lang w:val="es-ES_tradnl"/>
              </w:rPr>
              <w:t>28</w:t>
            </w:r>
          </w:p>
        </w:tc>
        <w:tc>
          <w:tcPr>
            <w:tcW w:w="709" w:type="dxa"/>
          </w:tcPr>
          <w:p w:rsidR="00AB6DA3" w:rsidRPr="004D462B" w:rsidRDefault="00AB6DA3" w:rsidP="00AB6DA3">
            <w:pPr>
              <w:pStyle w:val="para"/>
              <w:spacing w:before="60" w:after="60"/>
              <w:jc w:val="center"/>
              <w:rPr>
                <w:rFonts w:asciiTheme="majorHAnsi" w:hAnsiTheme="majorHAnsi" w:cstheme="majorHAnsi"/>
                <w:sz w:val="18"/>
                <w:szCs w:val="18"/>
                <w:highlight w:val="yellow"/>
                <w:lang w:val="es-ES_tradnl"/>
              </w:rPr>
            </w:pPr>
            <w:r w:rsidRPr="004D462B">
              <w:rPr>
                <w:rFonts w:asciiTheme="majorHAnsi" w:hAnsiTheme="majorHAnsi" w:cstheme="majorHAnsi"/>
                <w:sz w:val="18"/>
                <w:szCs w:val="18"/>
                <w:highlight w:val="yellow"/>
                <w:lang w:val="es-ES_tradnl"/>
              </w:rPr>
              <w:t>710</w:t>
            </w:r>
          </w:p>
        </w:tc>
        <w:tc>
          <w:tcPr>
            <w:tcW w:w="850" w:type="dxa"/>
          </w:tcPr>
          <w:p w:rsidR="00AB6DA3" w:rsidRPr="004D462B" w:rsidRDefault="00AB6DA3" w:rsidP="00AB6DA3">
            <w:pPr>
              <w:pStyle w:val="para"/>
              <w:spacing w:before="60" w:after="60"/>
              <w:jc w:val="center"/>
              <w:rPr>
                <w:rFonts w:asciiTheme="majorHAnsi" w:hAnsiTheme="majorHAnsi" w:cstheme="majorHAnsi"/>
                <w:sz w:val="18"/>
                <w:szCs w:val="18"/>
                <w:highlight w:val="yellow"/>
                <w:lang w:val="es-ES_tradnl"/>
              </w:rPr>
            </w:pPr>
            <w:r w:rsidRPr="004D462B">
              <w:rPr>
                <w:rFonts w:asciiTheme="majorHAnsi" w:hAnsiTheme="majorHAnsi" w:cstheme="majorHAnsi"/>
                <w:sz w:val="18"/>
                <w:szCs w:val="18"/>
                <w:highlight w:val="yellow"/>
                <w:lang w:val="es-ES_tradnl"/>
              </w:rPr>
              <w:t>47.83</w:t>
            </w:r>
          </w:p>
        </w:tc>
        <w:tc>
          <w:tcPr>
            <w:tcW w:w="850" w:type="dxa"/>
          </w:tcPr>
          <w:p w:rsidR="00AB6DA3" w:rsidRPr="004D462B" w:rsidRDefault="00AB6DA3" w:rsidP="00AB6DA3">
            <w:pPr>
              <w:pStyle w:val="para"/>
              <w:spacing w:before="60" w:after="60"/>
              <w:jc w:val="center"/>
              <w:rPr>
                <w:rFonts w:asciiTheme="majorHAnsi" w:hAnsiTheme="majorHAnsi" w:cstheme="majorHAnsi"/>
                <w:sz w:val="18"/>
                <w:szCs w:val="18"/>
                <w:highlight w:val="yellow"/>
                <w:lang w:val="es-ES_tradnl"/>
              </w:rPr>
            </w:pPr>
            <w:r w:rsidRPr="004D462B">
              <w:rPr>
                <w:rFonts w:asciiTheme="majorHAnsi" w:hAnsiTheme="majorHAnsi" w:cstheme="majorHAnsi"/>
                <w:sz w:val="18"/>
                <w:szCs w:val="18"/>
                <w:highlight w:val="yellow"/>
                <w:lang w:val="es-ES_tradnl"/>
              </w:rPr>
              <w:t>21.8</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72.89</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33.8</w:t>
            </w:r>
          </w:p>
        </w:tc>
        <w:tc>
          <w:tcPr>
            <w:tcW w:w="992"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108.93</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52.2</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158.21</w:t>
            </w:r>
          </w:p>
        </w:tc>
        <w:tc>
          <w:tcPr>
            <w:tcW w:w="709"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79.3</w:t>
            </w:r>
          </w:p>
        </w:tc>
        <w:tc>
          <w:tcPr>
            <w:tcW w:w="850"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c>
          <w:tcPr>
            <w:tcW w:w="851" w:type="dxa"/>
          </w:tcPr>
          <w:p w:rsidR="00AB6DA3" w:rsidRPr="00E43F8A" w:rsidRDefault="00AB6DA3" w:rsidP="00AB6DA3">
            <w:pPr>
              <w:pStyle w:val="para"/>
              <w:spacing w:before="60" w:after="60"/>
              <w:jc w:val="center"/>
              <w:rPr>
                <w:rFonts w:asciiTheme="majorHAnsi" w:hAnsiTheme="majorHAnsi" w:cstheme="majorHAnsi"/>
                <w:sz w:val="18"/>
                <w:szCs w:val="18"/>
                <w:lang w:val="es-ES_tradnl"/>
              </w:rPr>
            </w:pPr>
            <w:r>
              <w:rPr>
                <w:rFonts w:asciiTheme="majorHAnsi" w:hAnsiTheme="majorHAnsi" w:cstheme="majorHAnsi"/>
                <w:sz w:val="18"/>
                <w:szCs w:val="18"/>
                <w:lang w:val="es-ES_tradnl"/>
              </w:rPr>
              <w:t>-</w:t>
            </w:r>
          </w:p>
        </w:tc>
      </w:tr>
    </w:tbl>
    <w:p w:rsidR="00DF5E3B" w:rsidRDefault="00DF5E3B" w:rsidP="00DF5E3B">
      <w:pPr>
        <w:rPr>
          <w:rFonts w:cstheme="minorHAnsi"/>
          <w:bCs/>
          <w:sz w:val="20"/>
        </w:rPr>
      </w:pPr>
    </w:p>
    <w:p w:rsidR="00700CFC" w:rsidRPr="00184E28" w:rsidRDefault="00700CFC" w:rsidP="00DF5E3B">
      <w:pPr>
        <w:rPr>
          <w:rFonts w:cstheme="minorHAnsi"/>
          <w:bCs/>
          <w:sz w:val="20"/>
        </w:rPr>
      </w:pPr>
    </w:p>
    <w:p w:rsidR="00DF5E3B" w:rsidRPr="00184E28" w:rsidRDefault="00DF5E3B" w:rsidP="00DF5E3B">
      <w:pPr>
        <w:pStyle w:val="Prrafodelista"/>
        <w:numPr>
          <w:ilvl w:val="0"/>
          <w:numId w:val="5"/>
        </w:numPr>
        <w:rPr>
          <w:rFonts w:cstheme="minorHAnsi"/>
          <w:b/>
          <w:bCs/>
          <w:sz w:val="20"/>
        </w:rPr>
      </w:pPr>
      <w:r w:rsidRPr="00184E28">
        <w:rPr>
          <w:rFonts w:cstheme="minorHAnsi"/>
          <w:b/>
          <w:bCs/>
          <w:sz w:val="20"/>
        </w:rPr>
        <w:lastRenderedPageBreak/>
        <w:t>Disposiciones para la ejecución de la partida</w:t>
      </w:r>
    </w:p>
    <w:p w:rsidR="00DF5E3B" w:rsidRPr="000655F9" w:rsidRDefault="00DF5E3B" w:rsidP="00DF5E3B">
      <w:pPr>
        <w:ind w:left="360"/>
        <w:rPr>
          <w:rFonts w:cstheme="minorHAnsi"/>
          <w:bCs/>
          <w:sz w:val="20"/>
          <w:u w:val="single"/>
        </w:rPr>
      </w:pPr>
      <w:r w:rsidRPr="000655F9">
        <w:rPr>
          <w:rFonts w:cstheme="minorHAnsi"/>
          <w:bCs/>
          <w:sz w:val="20"/>
          <w:u w:val="single"/>
        </w:rPr>
        <w:t>Transporte y Carga</w:t>
      </w:r>
    </w:p>
    <w:p w:rsidR="00DF5E3B" w:rsidRDefault="00DF5E3B" w:rsidP="00DF5E3B">
      <w:pPr>
        <w:ind w:left="360"/>
        <w:rPr>
          <w:rFonts w:cstheme="minorHAnsi"/>
          <w:bCs/>
          <w:sz w:val="20"/>
        </w:rPr>
      </w:pPr>
      <w:r w:rsidRPr="000F4AEE">
        <w:rPr>
          <w:rFonts w:cstheme="minorHAnsi"/>
          <w:bCs/>
          <w:sz w:val="20"/>
        </w:rPr>
        <w:t>Los tubos deben ser colocados siempre horizontalmente.</w:t>
      </w:r>
      <w:r>
        <w:rPr>
          <w:rFonts w:cstheme="minorHAnsi"/>
          <w:bCs/>
          <w:sz w:val="20"/>
        </w:rPr>
        <w:t xml:space="preserve"> </w:t>
      </w:r>
      <w:r w:rsidRPr="000F4AEE">
        <w:rPr>
          <w:rFonts w:cstheme="minorHAnsi"/>
          <w:bCs/>
          <w:sz w:val="20"/>
        </w:rPr>
        <w:t>En caso sea necesario transportar la tubería de distinta clase, deberán cargarse primero los tubos de paredes más gruesas</w:t>
      </w:r>
    </w:p>
    <w:p w:rsidR="00DF5E3B" w:rsidRPr="009B3182" w:rsidRDefault="00DF5E3B" w:rsidP="00DF5E3B">
      <w:pPr>
        <w:ind w:left="360"/>
        <w:rPr>
          <w:rFonts w:cstheme="minorHAnsi"/>
          <w:bCs/>
          <w:sz w:val="20"/>
          <w:u w:val="single"/>
        </w:rPr>
      </w:pPr>
      <w:r w:rsidRPr="009B3182">
        <w:rPr>
          <w:rFonts w:cstheme="minorHAnsi"/>
          <w:bCs/>
          <w:sz w:val="20"/>
          <w:u w:val="single"/>
        </w:rPr>
        <w:t>Recepción de Materiales</w:t>
      </w:r>
    </w:p>
    <w:p w:rsidR="00DF5E3B" w:rsidRPr="009B3182" w:rsidRDefault="00DF5E3B" w:rsidP="00DF5E3B">
      <w:pPr>
        <w:ind w:left="360"/>
        <w:rPr>
          <w:rFonts w:cstheme="minorHAnsi"/>
          <w:bCs/>
          <w:sz w:val="20"/>
        </w:rPr>
      </w:pPr>
      <w:r w:rsidRPr="009B3182">
        <w:rPr>
          <w:rFonts w:cstheme="minorHAnsi"/>
          <w:bCs/>
          <w:sz w:val="20"/>
        </w:rPr>
        <w:t>Al recibir la tubería HDPE será conveniente seguir las siguientes recomendaciones:</w:t>
      </w:r>
    </w:p>
    <w:p w:rsidR="00DF5E3B" w:rsidRPr="005F5D7E" w:rsidRDefault="00DF5E3B" w:rsidP="00DF5E3B">
      <w:pPr>
        <w:pStyle w:val="Prrafodelista"/>
        <w:numPr>
          <w:ilvl w:val="0"/>
          <w:numId w:val="2"/>
        </w:numPr>
        <w:rPr>
          <w:rFonts w:cstheme="minorHAnsi"/>
          <w:bCs/>
          <w:sz w:val="20"/>
        </w:rPr>
      </w:pPr>
      <w:r w:rsidRPr="005F5D7E">
        <w:rPr>
          <w:rFonts w:cstheme="minorHAnsi"/>
          <w:bCs/>
          <w:sz w:val="20"/>
        </w:rPr>
        <w:t>Inspeccionar cada embarque de tubería que se recepcione, asegurándose que el material llegó sin pérdidas ni daños.</w:t>
      </w:r>
    </w:p>
    <w:p w:rsidR="00DF5E3B" w:rsidRPr="005F5D7E" w:rsidRDefault="00DF5E3B" w:rsidP="00DF5E3B">
      <w:pPr>
        <w:pStyle w:val="Prrafodelista"/>
        <w:numPr>
          <w:ilvl w:val="0"/>
          <w:numId w:val="2"/>
        </w:numPr>
        <w:rPr>
          <w:rFonts w:cstheme="minorHAnsi"/>
          <w:bCs/>
          <w:sz w:val="20"/>
        </w:rPr>
      </w:pPr>
      <w:r w:rsidRPr="005F5D7E">
        <w:rPr>
          <w:rFonts w:cstheme="minorHAnsi"/>
          <w:bCs/>
          <w:sz w:val="20"/>
        </w:rPr>
        <w:t>Si el acondicionamiento de la carga muestra roturas o evidencias de tratamientos rudos, inspeccionar cada tubo a fin de detectar cualquier daño.</w:t>
      </w:r>
    </w:p>
    <w:p w:rsidR="00DF5E3B" w:rsidRPr="005F5D7E" w:rsidRDefault="00DF5E3B" w:rsidP="00DF5E3B">
      <w:pPr>
        <w:pStyle w:val="Prrafodelista"/>
        <w:numPr>
          <w:ilvl w:val="0"/>
          <w:numId w:val="2"/>
        </w:numPr>
        <w:rPr>
          <w:rFonts w:cstheme="minorHAnsi"/>
          <w:bCs/>
          <w:sz w:val="20"/>
        </w:rPr>
      </w:pPr>
      <w:r w:rsidRPr="005F5D7E">
        <w:rPr>
          <w:rFonts w:cstheme="minorHAnsi"/>
          <w:bCs/>
          <w:sz w:val="20"/>
        </w:rPr>
        <w:t>Verifique las cantidades totales de cada artículo contra la guía de despacho (tubos, accesorios, etc.).</w:t>
      </w:r>
    </w:p>
    <w:p w:rsidR="00DF5E3B" w:rsidRPr="005F5D7E" w:rsidRDefault="00DF5E3B" w:rsidP="00DF5E3B">
      <w:pPr>
        <w:pStyle w:val="Prrafodelista"/>
        <w:numPr>
          <w:ilvl w:val="0"/>
          <w:numId w:val="2"/>
        </w:numPr>
        <w:rPr>
          <w:rFonts w:cstheme="minorHAnsi"/>
          <w:bCs/>
          <w:sz w:val="20"/>
        </w:rPr>
      </w:pPr>
      <w:r w:rsidRPr="005F5D7E">
        <w:rPr>
          <w:rFonts w:cstheme="minorHAnsi"/>
          <w:bCs/>
          <w:sz w:val="20"/>
        </w:rPr>
        <w:t>Cada artículo extraviado o dañado debe ser anotado en las guías de despacho.</w:t>
      </w:r>
    </w:p>
    <w:p w:rsidR="00DF5E3B" w:rsidRPr="005F5D7E" w:rsidRDefault="00DF5E3B" w:rsidP="00DF5E3B">
      <w:pPr>
        <w:pStyle w:val="Prrafodelista"/>
        <w:numPr>
          <w:ilvl w:val="0"/>
          <w:numId w:val="2"/>
        </w:numPr>
        <w:rPr>
          <w:rFonts w:cstheme="minorHAnsi"/>
          <w:bCs/>
          <w:sz w:val="20"/>
        </w:rPr>
      </w:pPr>
      <w:r w:rsidRPr="005F5D7E">
        <w:rPr>
          <w:rFonts w:cstheme="minorHAnsi"/>
          <w:bCs/>
          <w:sz w:val="20"/>
        </w:rPr>
        <w:t>Notifique al transportista inmediatamente y haga el reclamo de acuerdo con las instrucciones del caso.</w:t>
      </w:r>
    </w:p>
    <w:p w:rsidR="00DF5E3B" w:rsidRPr="005F5D7E" w:rsidRDefault="00DF5E3B" w:rsidP="00DF5E3B">
      <w:pPr>
        <w:pStyle w:val="Prrafodelista"/>
        <w:numPr>
          <w:ilvl w:val="0"/>
          <w:numId w:val="2"/>
        </w:numPr>
        <w:rPr>
          <w:rFonts w:cstheme="minorHAnsi"/>
          <w:bCs/>
          <w:sz w:val="20"/>
        </w:rPr>
      </w:pPr>
      <w:r w:rsidRPr="005F5D7E">
        <w:rPr>
          <w:rFonts w:cstheme="minorHAnsi"/>
          <w:bCs/>
          <w:sz w:val="20"/>
        </w:rPr>
        <w:t>Separe cualquier material dañado.  No lo use, el fabricante informará del procedimiento a seguir para la devolución y reposición si fuere el caso.</w:t>
      </w:r>
    </w:p>
    <w:p w:rsidR="00DF5E3B" w:rsidRPr="00DD00CD" w:rsidRDefault="00DF5E3B" w:rsidP="00DF5E3B">
      <w:pPr>
        <w:ind w:left="360"/>
        <w:rPr>
          <w:rFonts w:cstheme="minorHAnsi"/>
          <w:bCs/>
          <w:sz w:val="20"/>
          <w:u w:val="single"/>
        </w:rPr>
      </w:pPr>
      <w:r w:rsidRPr="00DD00CD">
        <w:rPr>
          <w:rFonts w:cstheme="minorHAnsi"/>
          <w:bCs/>
          <w:sz w:val="20"/>
          <w:u w:val="single"/>
        </w:rPr>
        <w:t>Manipuleo y Descarga</w:t>
      </w:r>
    </w:p>
    <w:p w:rsidR="00DF5E3B" w:rsidRPr="00DD00CD" w:rsidRDefault="00DF5E3B" w:rsidP="00DF5E3B">
      <w:pPr>
        <w:ind w:left="360"/>
        <w:rPr>
          <w:rFonts w:cstheme="minorHAnsi"/>
          <w:bCs/>
          <w:sz w:val="20"/>
        </w:rPr>
      </w:pPr>
      <w:r w:rsidRPr="00DD00CD">
        <w:rPr>
          <w:rFonts w:cstheme="minorHAnsi"/>
          <w:bCs/>
          <w:sz w:val="20"/>
        </w:rPr>
        <w:t>El bajo peso de los tubos HDPE permite que la descarga se haga en forma manual, pero es necesario evitar:</w:t>
      </w:r>
    </w:p>
    <w:p w:rsidR="00DF5E3B" w:rsidRPr="00825C9B" w:rsidRDefault="00DF5E3B" w:rsidP="00DF5E3B">
      <w:pPr>
        <w:pStyle w:val="Prrafodelista"/>
        <w:numPr>
          <w:ilvl w:val="0"/>
          <w:numId w:val="6"/>
        </w:numPr>
        <w:rPr>
          <w:rFonts w:cstheme="minorHAnsi"/>
          <w:bCs/>
          <w:sz w:val="20"/>
        </w:rPr>
      </w:pPr>
      <w:r w:rsidRPr="00825C9B">
        <w:rPr>
          <w:rFonts w:cstheme="minorHAnsi"/>
          <w:bCs/>
          <w:sz w:val="20"/>
        </w:rPr>
        <w:t>La descarga violenta, los choques o impactos con objetos duros y cortantes; mientras se está descargando un tubo, los demás tubos en el camión deberán sujetarse de manera de impedir desplazamientos.</w:t>
      </w:r>
    </w:p>
    <w:p w:rsidR="00DF5E3B" w:rsidRPr="00825C9B" w:rsidRDefault="00DF5E3B" w:rsidP="00DF5E3B">
      <w:pPr>
        <w:pStyle w:val="Prrafodelista"/>
        <w:numPr>
          <w:ilvl w:val="0"/>
          <w:numId w:val="6"/>
        </w:numPr>
        <w:rPr>
          <w:rFonts w:cstheme="minorHAnsi"/>
          <w:bCs/>
          <w:sz w:val="20"/>
        </w:rPr>
      </w:pPr>
      <w:r w:rsidRPr="00825C9B">
        <w:rPr>
          <w:rFonts w:cstheme="minorHAnsi"/>
          <w:bCs/>
          <w:sz w:val="20"/>
        </w:rPr>
        <w:t>Se debe evitar en todo momento el arrastre de estos para impedir posibles daños por abrasión.</w:t>
      </w:r>
    </w:p>
    <w:p w:rsidR="00DF5E3B" w:rsidRPr="00825C9B" w:rsidRDefault="00DF5E3B" w:rsidP="00DF5E3B">
      <w:pPr>
        <w:pStyle w:val="Prrafodelista"/>
        <w:numPr>
          <w:ilvl w:val="0"/>
          <w:numId w:val="6"/>
        </w:numPr>
        <w:rPr>
          <w:rFonts w:cstheme="minorHAnsi"/>
          <w:bCs/>
          <w:sz w:val="20"/>
        </w:rPr>
      </w:pPr>
      <w:r w:rsidRPr="00825C9B">
        <w:rPr>
          <w:rFonts w:cstheme="minorHAnsi"/>
          <w:bCs/>
          <w:sz w:val="20"/>
        </w:rPr>
        <w:t>También debe prevenirse la posibilidad de que los tubos caigan o vayan a apoyarse en sus extremos o contra objetos duros, lo cual podría originar daños o deformaciones permanentes.</w:t>
      </w:r>
    </w:p>
    <w:p w:rsidR="00DF5E3B" w:rsidRPr="00825C9B" w:rsidRDefault="00DF5E3B" w:rsidP="00DF5E3B">
      <w:pPr>
        <w:pStyle w:val="Prrafodelista"/>
        <w:numPr>
          <w:ilvl w:val="0"/>
          <w:numId w:val="6"/>
        </w:numPr>
        <w:rPr>
          <w:rFonts w:cstheme="minorHAnsi"/>
          <w:bCs/>
          <w:sz w:val="20"/>
        </w:rPr>
      </w:pPr>
      <w:r w:rsidRPr="00825C9B">
        <w:rPr>
          <w:rFonts w:cstheme="minorHAnsi"/>
          <w:bCs/>
          <w:sz w:val="20"/>
        </w:rPr>
        <w:t>Tome siempre en cuenta que el material que se recibe puede ser enviado como tubos sueltos, en paquete o acondicionados de otra manera.</w:t>
      </w:r>
    </w:p>
    <w:p w:rsidR="00DF5E3B" w:rsidRPr="00651F0C" w:rsidRDefault="00DF5E3B" w:rsidP="00DF5E3B">
      <w:pPr>
        <w:ind w:left="360"/>
        <w:rPr>
          <w:rFonts w:cstheme="minorHAnsi"/>
          <w:bCs/>
          <w:sz w:val="20"/>
          <w:u w:val="single"/>
        </w:rPr>
      </w:pPr>
      <w:r w:rsidRPr="00651F0C">
        <w:rPr>
          <w:rFonts w:cstheme="minorHAnsi"/>
          <w:bCs/>
          <w:sz w:val="20"/>
          <w:u w:val="single"/>
        </w:rPr>
        <w:t>Almacenamiento</w:t>
      </w:r>
    </w:p>
    <w:p w:rsidR="00DF5E3B" w:rsidRPr="00651F0C" w:rsidRDefault="00DF5E3B" w:rsidP="00DF5E3B">
      <w:pPr>
        <w:pStyle w:val="Prrafodelista"/>
        <w:numPr>
          <w:ilvl w:val="0"/>
          <w:numId w:val="7"/>
        </w:numPr>
        <w:rPr>
          <w:rFonts w:cstheme="minorHAnsi"/>
          <w:bCs/>
          <w:sz w:val="20"/>
        </w:rPr>
      </w:pPr>
      <w:r w:rsidRPr="00651F0C">
        <w:rPr>
          <w:rFonts w:cstheme="minorHAnsi"/>
          <w:bCs/>
          <w:sz w:val="20"/>
        </w:rPr>
        <w:t>La tubería debe ser almacenada lo más cerca posible del punto de utilización; y el área destinada para el almacenamiento debe ser plana y bien nivelado para evitar deformaciones permanentes en los tubos.</w:t>
      </w:r>
    </w:p>
    <w:p w:rsidR="00DF5E3B" w:rsidRPr="00651F0C" w:rsidRDefault="00DF5E3B" w:rsidP="00DF5E3B">
      <w:pPr>
        <w:pStyle w:val="Prrafodelista"/>
        <w:numPr>
          <w:ilvl w:val="0"/>
          <w:numId w:val="7"/>
        </w:numPr>
        <w:rPr>
          <w:rFonts w:cstheme="minorHAnsi"/>
          <w:bCs/>
          <w:sz w:val="20"/>
        </w:rPr>
      </w:pPr>
      <w:r w:rsidRPr="00651F0C">
        <w:rPr>
          <w:rFonts w:cstheme="minorHAnsi"/>
          <w:bCs/>
          <w:sz w:val="20"/>
        </w:rPr>
        <w:t>Cuando la situación lo merezca es factible preparar los tubos a transportar en "atados", esta situación permite aprovechar aún más la altura de las barandas de los vehículos, toda vez que el "atado" se comporta como un gran tubo con mayor resistencia al aplastamiento, sobre todo aquellos que se ubiquen en la parte inferior.</w:t>
      </w:r>
    </w:p>
    <w:p w:rsidR="00DF5E3B" w:rsidRPr="00651F0C" w:rsidRDefault="00DF5E3B" w:rsidP="00DF5E3B">
      <w:pPr>
        <w:pStyle w:val="Prrafodelista"/>
        <w:numPr>
          <w:ilvl w:val="0"/>
          <w:numId w:val="7"/>
        </w:numPr>
        <w:rPr>
          <w:rFonts w:cstheme="minorHAnsi"/>
          <w:bCs/>
          <w:sz w:val="20"/>
        </w:rPr>
      </w:pPr>
      <w:r w:rsidRPr="00651F0C">
        <w:rPr>
          <w:rFonts w:cstheme="minorHAnsi"/>
          <w:bCs/>
          <w:sz w:val="20"/>
        </w:rPr>
        <w:t>Cada atado se prepara con amarres de cáñamo, cordel u otro material resistente, rodeando los tubos previamente con algún elemento protector (papel, lona, etc.).  En todos los casos no debe cargarse otro tipo de material sobre los tubos.</w:t>
      </w:r>
    </w:p>
    <w:p w:rsidR="00DF5E3B" w:rsidRPr="00E516AD" w:rsidRDefault="00DF5E3B" w:rsidP="00DF5E3B">
      <w:pPr>
        <w:ind w:left="360"/>
        <w:rPr>
          <w:rFonts w:cstheme="minorHAnsi"/>
          <w:bCs/>
          <w:sz w:val="20"/>
          <w:u w:val="single"/>
        </w:rPr>
      </w:pPr>
      <w:r w:rsidRPr="00E516AD">
        <w:rPr>
          <w:rFonts w:cstheme="minorHAnsi"/>
          <w:bCs/>
          <w:sz w:val="20"/>
          <w:u w:val="single"/>
        </w:rPr>
        <w:t>Requerimiento de construcción</w:t>
      </w:r>
    </w:p>
    <w:p w:rsidR="00DF5E3B" w:rsidRPr="007F09D3" w:rsidRDefault="00DF5E3B" w:rsidP="00DF5E3B">
      <w:pPr>
        <w:pStyle w:val="Prrafodelista"/>
        <w:numPr>
          <w:ilvl w:val="0"/>
          <w:numId w:val="4"/>
        </w:numPr>
        <w:rPr>
          <w:rFonts w:eastAsia="Kalinga" w:cstheme="minorHAnsi"/>
          <w:b/>
          <w:sz w:val="20"/>
        </w:rPr>
      </w:pPr>
      <w:r w:rsidRPr="007F09D3">
        <w:rPr>
          <w:rFonts w:eastAsia="Kalinga" w:cstheme="minorHAnsi"/>
          <w:b/>
          <w:sz w:val="20"/>
        </w:rPr>
        <w:t xml:space="preserve">Preparación del terreno </w:t>
      </w:r>
      <w:r w:rsidRPr="007F09D3">
        <w:rPr>
          <w:rFonts w:eastAsia="Kalinga" w:cstheme="minorHAnsi"/>
          <w:b/>
          <w:bCs/>
          <w:sz w:val="20"/>
        </w:rPr>
        <w:t>y excavación</w:t>
      </w:r>
    </w:p>
    <w:p w:rsidR="00DF5E3B" w:rsidRDefault="00DF5E3B" w:rsidP="00DF5E3B">
      <w:pPr>
        <w:ind w:left="360"/>
        <w:rPr>
          <w:rFonts w:eastAsiaTheme="minorEastAsia" w:cstheme="minorHAnsi"/>
          <w:sz w:val="20"/>
        </w:rPr>
      </w:pPr>
      <w:r w:rsidRPr="00D74185">
        <w:rPr>
          <w:rFonts w:eastAsiaTheme="minorEastAsia" w:cstheme="minorHAnsi"/>
          <w:sz w:val="20"/>
        </w:rPr>
        <w:t xml:space="preserve">La excavación deberá tener una amplitud tal, que su ancho total </w:t>
      </w:r>
      <w:r>
        <w:rPr>
          <w:rFonts w:eastAsiaTheme="minorEastAsia" w:cstheme="minorHAnsi"/>
          <w:sz w:val="20"/>
        </w:rPr>
        <w:t>sea el resultado de la suma del ancho de zapata del dado de concreto como se indica en los planos respectivos más los sobreanchos de excavación en ambos lados del dado.</w:t>
      </w:r>
    </w:p>
    <w:p w:rsidR="00DF5E3B" w:rsidRPr="007F09D3" w:rsidRDefault="00DF5E3B" w:rsidP="00DF5E3B">
      <w:pPr>
        <w:pStyle w:val="Prrafodelista"/>
        <w:numPr>
          <w:ilvl w:val="0"/>
          <w:numId w:val="4"/>
        </w:numPr>
        <w:rPr>
          <w:rFonts w:eastAsia="Kalinga" w:cstheme="minorHAnsi"/>
          <w:b/>
          <w:bCs/>
          <w:sz w:val="20"/>
        </w:rPr>
      </w:pPr>
      <w:r w:rsidRPr="007F09D3">
        <w:rPr>
          <w:rFonts w:eastAsia="Kalinga" w:cstheme="minorHAnsi"/>
          <w:b/>
          <w:bCs/>
          <w:sz w:val="20"/>
        </w:rPr>
        <w:t>Armado y colocación de tubería</w:t>
      </w:r>
    </w:p>
    <w:p w:rsidR="00DF5E3B" w:rsidRDefault="00DF5E3B" w:rsidP="00DF5E3B">
      <w:pPr>
        <w:ind w:left="360"/>
        <w:rPr>
          <w:rFonts w:eastAsiaTheme="minorEastAsia" w:cstheme="minorHAnsi"/>
          <w:sz w:val="20"/>
        </w:rPr>
      </w:pPr>
      <w:r w:rsidRPr="00D74185">
        <w:rPr>
          <w:rFonts w:eastAsiaTheme="minorEastAsia" w:cstheme="minorHAnsi"/>
          <w:sz w:val="20"/>
        </w:rPr>
        <w:t>La tubería de polietileno de alta densidad (PAD o HDPE) será ensamblada en su emplazamiento final</w:t>
      </w:r>
      <w:r>
        <w:rPr>
          <w:rFonts w:eastAsiaTheme="minorEastAsia" w:cstheme="minorHAnsi"/>
          <w:sz w:val="20"/>
        </w:rPr>
        <w:t>, para ello se usará la técnica de termofusión para la unión entre dos tuberías, cabe mencionar que a los extremos finales de la tubería se debe disponer de bridas de la misma clase y material de la tubería.</w:t>
      </w:r>
    </w:p>
    <w:p w:rsidR="00DF5E3B" w:rsidRDefault="00DF5E3B" w:rsidP="00DF5E3B">
      <w:pPr>
        <w:ind w:left="360"/>
        <w:rPr>
          <w:rFonts w:eastAsiaTheme="minorEastAsia" w:cstheme="minorHAnsi"/>
          <w:sz w:val="20"/>
        </w:rPr>
      </w:pPr>
      <w:r w:rsidRPr="00D74185">
        <w:rPr>
          <w:rFonts w:eastAsiaTheme="minorEastAsia" w:cstheme="minorHAnsi"/>
          <w:sz w:val="20"/>
        </w:rPr>
        <w:t xml:space="preserve">La tubería se colocará cuidadosamente sobre el material de base o asiento, siguiendo el alineamiento indicado por 2 estacas en línea, cuya colocación será aprobada por el Supervisor; de igual manera verificará y dará su conformidad a las cotas de cimentación. Todo tubo de Polietileno de Alta Densidad (PAD o HDPE) mal alineado, indebidamente asentado o dañado en su colocación, será rechazado y reemplazado por tubería nueva a costo del </w:t>
      </w:r>
      <w:r>
        <w:rPr>
          <w:rFonts w:eastAsiaTheme="minorEastAsia" w:cstheme="minorHAnsi"/>
          <w:sz w:val="20"/>
        </w:rPr>
        <w:t>Subc</w:t>
      </w:r>
      <w:r w:rsidRPr="00D74185">
        <w:rPr>
          <w:rFonts w:eastAsiaTheme="minorEastAsia" w:cstheme="minorHAnsi"/>
          <w:sz w:val="20"/>
        </w:rPr>
        <w:t>ontratista.</w:t>
      </w:r>
    </w:p>
    <w:p w:rsidR="00DF5E3B" w:rsidRPr="007F09D3" w:rsidRDefault="00DF5E3B" w:rsidP="00DF5E3B">
      <w:pPr>
        <w:pStyle w:val="Prrafodelista"/>
        <w:numPr>
          <w:ilvl w:val="0"/>
          <w:numId w:val="4"/>
        </w:numPr>
        <w:rPr>
          <w:rFonts w:eastAsia="Kalinga" w:cstheme="minorHAnsi"/>
          <w:b/>
          <w:bCs/>
          <w:sz w:val="20"/>
        </w:rPr>
      </w:pPr>
      <w:r w:rsidRPr="007F09D3">
        <w:rPr>
          <w:rFonts w:eastAsia="Kalinga" w:cstheme="minorHAnsi"/>
          <w:b/>
          <w:bCs/>
          <w:sz w:val="20"/>
        </w:rPr>
        <w:t>Proceso de termofusión</w:t>
      </w:r>
    </w:p>
    <w:p w:rsidR="00DF5E3B" w:rsidRPr="00E36046" w:rsidRDefault="00DF5E3B" w:rsidP="00DF5E3B">
      <w:pPr>
        <w:ind w:left="360"/>
        <w:rPr>
          <w:rFonts w:eastAsia="Kalinga" w:cstheme="minorHAnsi"/>
          <w:sz w:val="20"/>
        </w:rPr>
      </w:pPr>
      <w:r w:rsidRPr="00E36046">
        <w:rPr>
          <w:rFonts w:eastAsia="Kalinga" w:cstheme="minorHAnsi"/>
          <w:sz w:val="20"/>
        </w:rPr>
        <w:t xml:space="preserve">La técnica empleada para unir las tuberías entre si será la de </w:t>
      </w:r>
      <w:r>
        <w:rPr>
          <w:rFonts w:eastAsia="Kalinga" w:cstheme="minorHAnsi"/>
          <w:sz w:val="20"/>
        </w:rPr>
        <w:t>t</w:t>
      </w:r>
      <w:r w:rsidRPr="00E36046">
        <w:rPr>
          <w:rFonts w:eastAsia="Kalinga" w:cstheme="minorHAnsi"/>
          <w:sz w:val="20"/>
        </w:rPr>
        <w:t>ermofusión (proceso térmico).</w:t>
      </w:r>
    </w:p>
    <w:p w:rsidR="00DF5E3B" w:rsidRPr="00E36046" w:rsidRDefault="00DF5E3B" w:rsidP="00DF5E3B">
      <w:pPr>
        <w:ind w:left="360"/>
        <w:rPr>
          <w:rFonts w:eastAsia="Kalinga" w:cstheme="minorHAnsi"/>
          <w:sz w:val="20"/>
        </w:rPr>
      </w:pPr>
      <w:r w:rsidRPr="00E36046">
        <w:rPr>
          <w:rFonts w:eastAsia="Kalinga" w:cstheme="minorHAnsi"/>
          <w:sz w:val="20"/>
        </w:rPr>
        <w:t>Por medio de una plancha calentadora se lleva al material a un estado de fusión produciéndose la plastificación, obtenida la plastificación del material se retira la plancha calentadora y se une los extremos aplicando una presión adecuada al tipo de unión que se esté realizando. Una vez enfriado el material recupera sus propiedades mecánicas.</w:t>
      </w:r>
    </w:p>
    <w:p w:rsidR="00DF5E3B" w:rsidRPr="00E36046" w:rsidRDefault="00DF5E3B" w:rsidP="00DF5E3B">
      <w:pPr>
        <w:ind w:left="360"/>
        <w:rPr>
          <w:rFonts w:eastAsia="Kalinga" w:cstheme="minorHAnsi"/>
          <w:sz w:val="20"/>
        </w:rPr>
      </w:pPr>
      <w:r w:rsidRPr="00E36046">
        <w:rPr>
          <w:rFonts w:eastAsia="Kalinga" w:cstheme="minorHAnsi"/>
          <w:sz w:val="20"/>
        </w:rPr>
        <w:t>No está permitido someter a la tubería a reiterados procesos de calentamiento-enfriamiento debido a que se degrada el material.</w:t>
      </w:r>
    </w:p>
    <w:p w:rsidR="00DF5E3B" w:rsidRPr="00E36046" w:rsidRDefault="00DF5E3B" w:rsidP="00DF5E3B">
      <w:pPr>
        <w:ind w:left="360"/>
        <w:rPr>
          <w:rFonts w:eastAsia="Kalinga" w:cstheme="minorHAnsi"/>
          <w:sz w:val="20"/>
        </w:rPr>
      </w:pPr>
      <w:r w:rsidRPr="00E36046">
        <w:rPr>
          <w:rFonts w:eastAsia="Kalinga" w:cstheme="minorHAnsi"/>
          <w:sz w:val="20"/>
        </w:rPr>
        <w:t>Para obtener una buena termofusión debe contarse con una tubería de calidad (materia prima de calidad, no reciclada, libre de cavidades e impurezas), condiciones climáticas adecuadas (temperatura, sin vientos que arrastren partículas, sin interferencias de lluvias, etc.), equipos de termofusión calibrados y operativos y contar con personal de experiencia en este tipo de trabajos.</w:t>
      </w:r>
    </w:p>
    <w:p w:rsidR="00DF5E3B" w:rsidRPr="00E36046" w:rsidRDefault="00DF5E3B" w:rsidP="00DF5E3B">
      <w:pPr>
        <w:ind w:left="360"/>
        <w:rPr>
          <w:rFonts w:eastAsia="Kalinga" w:cstheme="minorHAnsi"/>
          <w:sz w:val="20"/>
        </w:rPr>
      </w:pPr>
      <w:r w:rsidRPr="00E36046">
        <w:rPr>
          <w:rFonts w:eastAsia="Kalinga" w:cstheme="minorHAnsi"/>
          <w:sz w:val="20"/>
        </w:rPr>
        <w:t>La presión interfacial será de 21.7psi y una fuerza por efecto de arrastre de la tubería de aproximadamente 30psi. Las temperaturas deben estar en el rango de 150ºC-300ºC.</w:t>
      </w:r>
    </w:p>
    <w:p w:rsidR="00DF5E3B" w:rsidRPr="00E36046" w:rsidRDefault="00DF5E3B" w:rsidP="00DF5E3B">
      <w:pPr>
        <w:ind w:left="360"/>
        <w:rPr>
          <w:rFonts w:eastAsia="Kalinga" w:cstheme="minorHAnsi"/>
          <w:sz w:val="20"/>
        </w:rPr>
      </w:pPr>
      <w:r w:rsidRPr="00E36046">
        <w:rPr>
          <w:rFonts w:eastAsia="Kalinga" w:cstheme="minorHAnsi"/>
          <w:sz w:val="20"/>
        </w:rPr>
        <w:t>Los tiempos de calentamiento, presión interfacial y enfriamiento dependen de la geometría de la tubería y las condiciones de temperatura del medio ambiente. Toda termofusión tiene una secuencia de procesos con sus correspondientes valores de temperatura, tiempo y presión. Y que serán dadas por el fabricante.</w:t>
      </w:r>
    </w:p>
    <w:p w:rsidR="00DF5E3B" w:rsidRPr="00E36046" w:rsidRDefault="00DF5E3B" w:rsidP="00DF5E3B">
      <w:pPr>
        <w:ind w:left="360"/>
        <w:rPr>
          <w:rFonts w:eastAsia="Kalinga" w:cstheme="minorHAnsi"/>
          <w:sz w:val="20"/>
        </w:rPr>
      </w:pPr>
      <w:r w:rsidRPr="00E36046">
        <w:rPr>
          <w:rFonts w:eastAsia="Kalinga" w:cstheme="minorHAnsi"/>
          <w:sz w:val="20"/>
        </w:rPr>
        <w:t>El equipo de termofusión debe estar compuesto por un sistema de alineamiento y apoyo de tuberías, mordazas de sujeción, disco refrentador, placa calefactora, sistema de empuje y dispositivos de control y supervisión de presión y temperatura. La sofisticación de estos componentes dependerá del fabricante del equipo y de las dimensiones de las tuberías.</w:t>
      </w:r>
    </w:p>
    <w:p w:rsidR="00DF5E3B" w:rsidRPr="00E36046" w:rsidRDefault="00DF5E3B" w:rsidP="00DF5E3B">
      <w:pPr>
        <w:ind w:left="360"/>
        <w:rPr>
          <w:rFonts w:eastAsia="Kalinga" w:cstheme="minorHAnsi"/>
          <w:sz w:val="20"/>
        </w:rPr>
      </w:pPr>
      <w:r w:rsidRPr="00E36046">
        <w:rPr>
          <w:rFonts w:eastAsia="Kalinga" w:cstheme="minorHAnsi"/>
          <w:sz w:val="20"/>
        </w:rPr>
        <w:t>Se debe evitar accionar la tubería durante los 30 minutos siguientes al proceso.</w:t>
      </w:r>
    </w:p>
    <w:p w:rsidR="00DF5E3B" w:rsidRPr="007F09D3" w:rsidRDefault="00DF5E3B" w:rsidP="00DF5E3B">
      <w:pPr>
        <w:pStyle w:val="Prrafodelista"/>
        <w:numPr>
          <w:ilvl w:val="0"/>
          <w:numId w:val="4"/>
        </w:numPr>
        <w:rPr>
          <w:rFonts w:eastAsia="Kalinga" w:cstheme="minorHAnsi"/>
          <w:b/>
          <w:bCs/>
          <w:sz w:val="20"/>
        </w:rPr>
      </w:pPr>
      <w:r w:rsidRPr="007F09D3">
        <w:rPr>
          <w:rFonts w:eastAsia="Kalinga" w:cstheme="minorHAnsi"/>
          <w:b/>
          <w:bCs/>
          <w:sz w:val="20"/>
        </w:rPr>
        <w:t>Prueba hidráulica y desinfección de tubería</w:t>
      </w:r>
    </w:p>
    <w:p w:rsidR="00DF5E3B" w:rsidRPr="008C7115" w:rsidRDefault="00DF5E3B" w:rsidP="00DF5E3B">
      <w:pPr>
        <w:ind w:left="360"/>
        <w:rPr>
          <w:rFonts w:eastAsia="Kalinga" w:cstheme="minorHAnsi"/>
          <w:sz w:val="20"/>
        </w:rPr>
      </w:pPr>
      <w:r w:rsidRPr="008C7115">
        <w:rPr>
          <w:rFonts w:eastAsia="Kalinga" w:cstheme="minorHAnsi"/>
          <w:sz w:val="20"/>
        </w:rPr>
        <w:t>El procedimiento por seguir para realizar la prueba de presión hidrostática en las tuberías de polietileno de alta densidad será la recomendada en la norma ASTM F 2164-02.</w:t>
      </w:r>
    </w:p>
    <w:p w:rsidR="00DF5E3B" w:rsidRPr="008C7115" w:rsidRDefault="00DF5E3B" w:rsidP="00DF5E3B">
      <w:pPr>
        <w:ind w:left="360"/>
        <w:rPr>
          <w:rFonts w:eastAsia="Kalinga" w:cstheme="minorHAnsi"/>
          <w:sz w:val="20"/>
        </w:rPr>
      </w:pPr>
      <w:r w:rsidRPr="008C7115">
        <w:rPr>
          <w:rFonts w:eastAsia="Kalinga" w:cstheme="minorHAnsi"/>
          <w:sz w:val="20"/>
        </w:rPr>
        <w:t>Debido a las propiedades visco elásticas del HDPE, se produce un alargamiento en el diámetro, por la elevada tensión periférica, adicionalmente se requiere agua de relleno para obtener la intensidad de la presión hidrostática.</w:t>
      </w:r>
    </w:p>
    <w:p w:rsidR="00DF5E3B" w:rsidRPr="008C7115" w:rsidRDefault="00DF5E3B" w:rsidP="00DF5E3B">
      <w:pPr>
        <w:ind w:left="360"/>
        <w:rPr>
          <w:rFonts w:eastAsia="Kalinga" w:cstheme="minorHAnsi"/>
          <w:sz w:val="20"/>
        </w:rPr>
      </w:pPr>
      <w:r w:rsidRPr="008C7115">
        <w:rPr>
          <w:rFonts w:eastAsia="Kalinga" w:cstheme="minorHAnsi"/>
          <w:sz w:val="20"/>
        </w:rPr>
        <w:t>Resumen del procedimiento de la prueba:</w:t>
      </w:r>
    </w:p>
    <w:p w:rsidR="00DF5E3B" w:rsidRPr="006D1E61" w:rsidRDefault="00DF5E3B" w:rsidP="00DF5E3B">
      <w:pPr>
        <w:pStyle w:val="Prrafodelista"/>
        <w:numPr>
          <w:ilvl w:val="0"/>
          <w:numId w:val="8"/>
        </w:numPr>
        <w:rPr>
          <w:rFonts w:eastAsia="Kalinga" w:cstheme="minorHAnsi"/>
          <w:sz w:val="20"/>
        </w:rPr>
      </w:pPr>
      <w:r w:rsidRPr="006D1E61">
        <w:rPr>
          <w:rFonts w:eastAsia="Kalinga" w:cstheme="minorHAnsi"/>
          <w:sz w:val="20"/>
        </w:rPr>
        <w:t>No hay límite de longitud</w:t>
      </w:r>
    </w:p>
    <w:p w:rsidR="00DF5E3B" w:rsidRPr="006D1E61" w:rsidRDefault="00DF5E3B" w:rsidP="00DF5E3B">
      <w:pPr>
        <w:pStyle w:val="Prrafodelista"/>
        <w:numPr>
          <w:ilvl w:val="0"/>
          <w:numId w:val="8"/>
        </w:numPr>
        <w:rPr>
          <w:rFonts w:eastAsia="Kalinga" w:cstheme="minorHAnsi"/>
          <w:sz w:val="20"/>
        </w:rPr>
      </w:pPr>
      <w:r w:rsidRPr="006D1E61">
        <w:rPr>
          <w:rFonts w:eastAsia="Kalinga" w:cstheme="minorHAnsi"/>
          <w:sz w:val="20"/>
        </w:rPr>
        <w:t>La temperatura del agua no debe exceder más de 25º en todo el tramo a probar, de lo contrario se debe corregir la presión.</w:t>
      </w:r>
    </w:p>
    <w:p w:rsidR="00DF5E3B" w:rsidRPr="006D1E61" w:rsidRDefault="00DF5E3B" w:rsidP="00DF5E3B">
      <w:pPr>
        <w:pStyle w:val="Prrafodelista"/>
        <w:numPr>
          <w:ilvl w:val="0"/>
          <w:numId w:val="8"/>
        </w:numPr>
        <w:rPr>
          <w:rFonts w:eastAsia="Kalinga" w:cstheme="minorHAnsi"/>
          <w:sz w:val="20"/>
        </w:rPr>
      </w:pPr>
      <w:r w:rsidRPr="006D1E61">
        <w:rPr>
          <w:rFonts w:eastAsia="Kalinga" w:cstheme="minorHAnsi"/>
          <w:sz w:val="20"/>
        </w:rPr>
        <w:t>Fase inicial de expansión (04 horas) llenar y mantener la presión de 1.5 PN</w:t>
      </w:r>
    </w:p>
    <w:p w:rsidR="00DF5E3B" w:rsidRPr="006D1E61" w:rsidRDefault="00DF5E3B" w:rsidP="00DF5E3B">
      <w:pPr>
        <w:pStyle w:val="Prrafodelista"/>
        <w:numPr>
          <w:ilvl w:val="0"/>
          <w:numId w:val="8"/>
        </w:numPr>
        <w:rPr>
          <w:rFonts w:eastAsia="Kalinga" w:cstheme="minorHAnsi"/>
          <w:sz w:val="20"/>
        </w:rPr>
      </w:pPr>
      <w:r w:rsidRPr="006D1E61">
        <w:rPr>
          <w:rFonts w:eastAsia="Kalinga" w:cstheme="minorHAnsi"/>
          <w:sz w:val="20"/>
        </w:rPr>
        <w:t>Fase de prueba, reducir la presión de prueba a 10 psi</w:t>
      </w:r>
    </w:p>
    <w:p w:rsidR="00DF5E3B" w:rsidRPr="006D1E61" w:rsidRDefault="00DF5E3B" w:rsidP="00DF5E3B">
      <w:pPr>
        <w:pStyle w:val="Prrafodelista"/>
        <w:numPr>
          <w:ilvl w:val="0"/>
          <w:numId w:val="8"/>
        </w:numPr>
        <w:rPr>
          <w:rFonts w:eastAsia="Kalinga" w:cstheme="minorHAnsi"/>
          <w:sz w:val="20"/>
        </w:rPr>
      </w:pPr>
      <w:r w:rsidRPr="006D1E61">
        <w:rPr>
          <w:rFonts w:eastAsia="Kalinga" w:cstheme="minorHAnsi"/>
          <w:sz w:val="20"/>
        </w:rPr>
        <w:t>Fase pasa/no pasa, pasado el tiempo de 1 hora se lee la presión el cual no debe diferir más de 5% de la presión de fase de prueba.</w:t>
      </w:r>
    </w:p>
    <w:p w:rsidR="00DF5E3B" w:rsidRPr="008C7115" w:rsidRDefault="00DF5E3B" w:rsidP="00DF5E3B">
      <w:pPr>
        <w:ind w:left="360"/>
        <w:rPr>
          <w:rFonts w:eastAsia="Kalinga" w:cstheme="minorHAnsi"/>
          <w:sz w:val="20"/>
        </w:rPr>
      </w:pPr>
      <w:r w:rsidRPr="008C7115">
        <w:rPr>
          <w:rFonts w:eastAsia="Kalinga" w:cstheme="minorHAnsi"/>
          <w:sz w:val="20"/>
        </w:rPr>
        <w:t>Todas las líneas de agua antes de ser puestas en servicio serán completamente desinfectadas de acuerdo con el procedimiento que se indica en la presente Especificación. La desinfección se realizar conjuntamente con la prueba hidráulica.</w:t>
      </w:r>
    </w:p>
    <w:p w:rsidR="00DF5E3B" w:rsidRPr="008C7115" w:rsidRDefault="00DF5E3B" w:rsidP="00DF5E3B">
      <w:pPr>
        <w:ind w:left="360"/>
        <w:rPr>
          <w:rFonts w:eastAsia="Kalinga" w:cstheme="minorHAnsi"/>
          <w:sz w:val="20"/>
        </w:rPr>
      </w:pPr>
      <w:r w:rsidRPr="008C7115">
        <w:rPr>
          <w:rFonts w:eastAsia="Kalinga" w:cstheme="minorHAnsi"/>
          <w:sz w:val="20"/>
        </w:rPr>
        <w:t>El dosaje de cloro aplicado para la desinfección será de 50 ppm.</w:t>
      </w:r>
    </w:p>
    <w:p w:rsidR="00DF5E3B" w:rsidRPr="008C7115" w:rsidRDefault="00DF5E3B" w:rsidP="00DF5E3B">
      <w:pPr>
        <w:ind w:left="360"/>
        <w:rPr>
          <w:rFonts w:eastAsia="Kalinga" w:cstheme="minorHAnsi"/>
          <w:sz w:val="20"/>
        </w:rPr>
      </w:pPr>
      <w:r w:rsidRPr="008C7115">
        <w:rPr>
          <w:rFonts w:eastAsia="Kalinga" w:cstheme="minorHAnsi"/>
          <w:sz w:val="20"/>
        </w:rPr>
        <w:t>El tiempo mínimo del contacto del cloro con la tubería será de 24 horas, procediendo a efectuar la prueba de cloro residual debiendo obtener por lo menos 5 ppm. de cloro.</w:t>
      </w:r>
    </w:p>
    <w:p w:rsidR="00DF5E3B" w:rsidRPr="008C7115" w:rsidRDefault="00DF5E3B" w:rsidP="00DF5E3B">
      <w:pPr>
        <w:ind w:left="360"/>
        <w:rPr>
          <w:rFonts w:eastAsia="Kalinga" w:cstheme="minorHAnsi"/>
          <w:sz w:val="20"/>
        </w:rPr>
      </w:pPr>
      <w:r w:rsidRPr="008C7115">
        <w:rPr>
          <w:rFonts w:eastAsia="Kalinga" w:cstheme="minorHAnsi"/>
          <w:sz w:val="20"/>
        </w:rPr>
        <w:t>En el período de cloración todas las válvulas, grifos y otros accesorios, serán maniobrados repetidas veces para asegurar que todas sus partes entren en contacto con la solución de cloro.</w:t>
      </w:r>
    </w:p>
    <w:p w:rsidR="00DF5E3B" w:rsidRPr="008C7115" w:rsidRDefault="00DF5E3B" w:rsidP="00DF5E3B">
      <w:pPr>
        <w:ind w:left="360"/>
        <w:rPr>
          <w:rFonts w:eastAsia="Kalinga" w:cstheme="minorHAnsi"/>
          <w:sz w:val="20"/>
        </w:rPr>
      </w:pPr>
      <w:r w:rsidRPr="008C7115">
        <w:rPr>
          <w:rFonts w:eastAsia="Kalinga" w:cstheme="minorHAnsi"/>
          <w:sz w:val="20"/>
        </w:rPr>
        <w:t>Después de la prueba, el agua con cloro será totalmente eliminada de la tubería e inyectándose con agua de consumo hasta alcanzar 0.2 ppm, de cloro.</w:t>
      </w:r>
    </w:p>
    <w:p w:rsidR="00DF5E3B" w:rsidRPr="008C7115" w:rsidRDefault="00DF5E3B" w:rsidP="00DF5E3B">
      <w:pPr>
        <w:ind w:left="360"/>
        <w:rPr>
          <w:rFonts w:eastAsia="Kalinga" w:cstheme="minorHAnsi"/>
          <w:sz w:val="20"/>
        </w:rPr>
      </w:pPr>
      <w:r w:rsidRPr="008C7115">
        <w:rPr>
          <w:rFonts w:eastAsia="Kalinga" w:cstheme="minorHAnsi"/>
          <w:sz w:val="20"/>
        </w:rPr>
        <w:t>Se podrá utilizar cualquiera de los productos enumerados a continuación, en orden de preferencia:</w:t>
      </w:r>
    </w:p>
    <w:p w:rsidR="00DF5E3B" w:rsidRPr="006D1E61" w:rsidRDefault="00DF5E3B" w:rsidP="00DF5E3B">
      <w:pPr>
        <w:pStyle w:val="Prrafodelista"/>
        <w:numPr>
          <w:ilvl w:val="0"/>
          <w:numId w:val="9"/>
        </w:numPr>
        <w:rPr>
          <w:rFonts w:eastAsia="Kalinga" w:cstheme="minorHAnsi"/>
          <w:sz w:val="20"/>
        </w:rPr>
      </w:pPr>
      <w:r w:rsidRPr="006D1E61">
        <w:rPr>
          <w:rFonts w:eastAsia="Kalinga" w:cstheme="minorHAnsi"/>
          <w:sz w:val="20"/>
        </w:rPr>
        <w:t>Cloro líquido.</w:t>
      </w:r>
    </w:p>
    <w:p w:rsidR="00DF5E3B" w:rsidRPr="006D1E61" w:rsidRDefault="00DF5E3B" w:rsidP="00DF5E3B">
      <w:pPr>
        <w:pStyle w:val="Prrafodelista"/>
        <w:numPr>
          <w:ilvl w:val="0"/>
          <w:numId w:val="9"/>
        </w:numPr>
        <w:rPr>
          <w:rFonts w:eastAsia="Kalinga" w:cstheme="minorHAnsi"/>
          <w:sz w:val="20"/>
        </w:rPr>
      </w:pPr>
      <w:r w:rsidRPr="006D1E61">
        <w:rPr>
          <w:rFonts w:eastAsia="Kalinga" w:cstheme="minorHAnsi"/>
          <w:sz w:val="20"/>
        </w:rPr>
        <w:t>Compuestos de cloro disueltos con agua.</w:t>
      </w:r>
    </w:p>
    <w:p w:rsidR="00DF5E3B" w:rsidRPr="005606AA" w:rsidRDefault="00DF5E3B" w:rsidP="00DF5E3B">
      <w:pPr>
        <w:pStyle w:val="Prrafodelista"/>
        <w:numPr>
          <w:ilvl w:val="0"/>
          <w:numId w:val="9"/>
        </w:numPr>
        <w:rPr>
          <w:rFonts w:eastAsia="Kalinga" w:cstheme="minorHAnsi"/>
          <w:sz w:val="20"/>
        </w:rPr>
      </w:pPr>
      <w:r w:rsidRPr="006D1E61">
        <w:rPr>
          <w:rFonts w:eastAsia="Kalinga" w:cstheme="minorHAnsi"/>
          <w:sz w:val="20"/>
        </w:rPr>
        <w:t xml:space="preserve">Otros desinfectantes Inocuos y aprobados por el </w:t>
      </w:r>
      <w:r>
        <w:rPr>
          <w:rFonts w:eastAsia="Kalinga" w:cstheme="minorHAnsi"/>
          <w:sz w:val="20"/>
        </w:rPr>
        <w:t>Supervisor</w:t>
      </w:r>
    </w:p>
    <w:p w:rsidR="00DF5E3B" w:rsidRPr="008C7115" w:rsidRDefault="00DF5E3B" w:rsidP="00DF5E3B">
      <w:pPr>
        <w:ind w:left="360"/>
        <w:rPr>
          <w:rFonts w:eastAsia="Kalinga" w:cstheme="minorHAnsi"/>
          <w:sz w:val="20"/>
        </w:rPr>
      </w:pPr>
      <w:r w:rsidRPr="008C7115">
        <w:rPr>
          <w:rFonts w:eastAsia="Kalinga" w:cstheme="minorHAnsi"/>
          <w:sz w:val="20"/>
        </w:rPr>
        <w:t xml:space="preserve">Para la desinfección con cloro líquido se aplicará una solución de éste, por medio de un aparato </w:t>
      </w:r>
      <w:proofErr w:type="spellStart"/>
      <w:r w:rsidRPr="008C7115">
        <w:rPr>
          <w:rFonts w:eastAsia="Kalinga" w:cstheme="minorHAnsi"/>
          <w:sz w:val="20"/>
        </w:rPr>
        <w:t>clorinador</w:t>
      </w:r>
      <w:proofErr w:type="spellEnd"/>
      <w:r w:rsidRPr="008C7115">
        <w:rPr>
          <w:rFonts w:eastAsia="Kalinga" w:cstheme="minorHAnsi"/>
          <w:sz w:val="20"/>
        </w:rPr>
        <w:t xml:space="preserve"> de solución, o cloro directamente de un cilindro con aparatos adecuados, para controlar la cantidad inyectada y asegurar la difusión efectiva del cloro en toda la línea.</w:t>
      </w:r>
    </w:p>
    <w:p w:rsidR="00DF5E3B" w:rsidRDefault="00DF5E3B" w:rsidP="00DF5E3B">
      <w:pPr>
        <w:ind w:left="360"/>
        <w:rPr>
          <w:rFonts w:eastAsia="Kalinga" w:cstheme="minorHAnsi"/>
          <w:b/>
          <w:bCs/>
          <w:sz w:val="20"/>
        </w:rPr>
      </w:pPr>
      <w:r w:rsidRPr="008C7115">
        <w:rPr>
          <w:rFonts w:eastAsia="Kalinga" w:cstheme="minorHAnsi"/>
          <w:sz w:val="20"/>
        </w:rPr>
        <w:t>En la desinfección de la tubería por compuesto de cloro disuelto, se podrá usar compuestos de cloro tal como, hipoclorito de calcio o similares y cuyo contenido de cloro utilizable sea conocido.</w:t>
      </w:r>
    </w:p>
    <w:p w:rsidR="00DF5E3B" w:rsidRPr="007F09D3" w:rsidRDefault="00DF5E3B" w:rsidP="00DF5E3B">
      <w:pPr>
        <w:pStyle w:val="Prrafodelista"/>
        <w:numPr>
          <w:ilvl w:val="0"/>
          <w:numId w:val="4"/>
        </w:numPr>
        <w:rPr>
          <w:rFonts w:eastAsia="Kalinga" w:cstheme="minorHAnsi"/>
          <w:b/>
          <w:bCs/>
          <w:sz w:val="20"/>
        </w:rPr>
      </w:pPr>
      <w:r w:rsidRPr="007F09D3">
        <w:rPr>
          <w:rFonts w:eastAsia="Kalinga" w:cstheme="minorHAnsi"/>
          <w:b/>
          <w:bCs/>
          <w:sz w:val="20"/>
        </w:rPr>
        <w:t>Sujeción</w:t>
      </w:r>
    </w:p>
    <w:p w:rsidR="00DF5E3B" w:rsidRDefault="00DF5E3B" w:rsidP="00DF5E3B">
      <w:pPr>
        <w:ind w:left="360"/>
        <w:rPr>
          <w:rFonts w:cstheme="minorHAnsi"/>
          <w:sz w:val="20"/>
        </w:rPr>
      </w:pPr>
      <w:r>
        <w:rPr>
          <w:rFonts w:cstheme="minorHAnsi"/>
          <w:sz w:val="20"/>
        </w:rPr>
        <w:t>La sujeción de la tubería quedara fijada con el vaciado final del dado que embebe la tubería, la calidad y tratamiento del concreto debe seguir la normativa vigente al momento de la construcción en el marco Nacional.</w:t>
      </w:r>
    </w:p>
    <w:p w:rsidR="00DF5E3B" w:rsidRPr="00D74185" w:rsidRDefault="00DF5E3B" w:rsidP="00DF5E3B">
      <w:pPr>
        <w:ind w:left="360"/>
        <w:rPr>
          <w:rFonts w:eastAsia="Kalinga" w:cstheme="minorHAnsi"/>
          <w:b/>
          <w:sz w:val="20"/>
        </w:rPr>
      </w:pPr>
      <w:r w:rsidRPr="00D74185">
        <w:rPr>
          <w:rFonts w:eastAsia="Kalinga" w:cstheme="minorHAnsi"/>
          <w:b/>
          <w:bCs/>
          <w:sz w:val="20"/>
        </w:rPr>
        <w:t>Colocación del relleno alrededor de la estructura</w:t>
      </w:r>
    </w:p>
    <w:p w:rsidR="00DF5E3B" w:rsidRPr="00D74185" w:rsidRDefault="00DF5E3B" w:rsidP="00DF5E3B">
      <w:pPr>
        <w:ind w:left="360"/>
        <w:rPr>
          <w:rFonts w:cstheme="minorHAnsi"/>
          <w:sz w:val="20"/>
        </w:rPr>
      </w:pPr>
      <w:r w:rsidRPr="00D74185">
        <w:rPr>
          <w:rFonts w:eastAsiaTheme="minorEastAsia" w:cstheme="minorHAnsi"/>
          <w:sz w:val="20"/>
        </w:rPr>
        <w:t>La colocación del relleno a los costados de</w:t>
      </w:r>
      <w:r>
        <w:rPr>
          <w:rFonts w:eastAsiaTheme="minorEastAsia" w:cstheme="minorHAnsi"/>
          <w:sz w:val="20"/>
        </w:rPr>
        <w:t>l dado</w:t>
      </w:r>
      <w:r w:rsidRPr="00D74185">
        <w:rPr>
          <w:rFonts w:eastAsiaTheme="minorEastAsia" w:cstheme="minorHAnsi"/>
          <w:sz w:val="20"/>
        </w:rPr>
        <w:t xml:space="preserve"> se realizará en capas alternadas de 0,15 m a ambos lados de</w:t>
      </w:r>
      <w:r>
        <w:rPr>
          <w:rFonts w:eastAsiaTheme="minorEastAsia" w:cstheme="minorHAnsi"/>
          <w:sz w:val="20"/>
        </w:rPr>
        <w:t>l dado</w:t>
      </w:r>
      <w:r w:rsidRPr="00D74185">
        <w:rPr>
          <w:rFonts w:eastAsiaTheme="minorEastAsia" w:cstheme="minorHAnsi"/>
          <w:sz w:val="20"/>
        </w:rPr>
        <w:t xml:space="preserve">, para permitir un buen apisonamiento. El relleno se colocará en forma simétrica conservando siempre la misma altura en ambos lados de la </w:t>
      </w:r>
      <w:r>
        <w:rPr>
          <w:rFonts w:eastAsiaTheme="minorEastAsia" w:cstheme="minorHAnsi"/>
          <w:sz w:val="20"/>
        </w:rPr>
        <w:t>estructura.</w:t>
      </w:r>
      <w:r w:rsidRPr="00D74185">
        <w:rPr>
          <w:rFonts w:eastAsiaTheme="minorEastAsia" w:cstheme="minorHAnsi"/>
          <w:sz w:val="20"/>
        </w:rPr>
        <w:t xml:space="preserve"> Se deberá tener especial cuidado en la colocación y compactación de las rinconera</w:t>
      </w:r>
      <w:r>
        <w:rPr>
          <w:rFonts w:eastAsiaTheme="minorEastAsia" w:cstheme="minorHAnsi"/>
          <w:sz w:val="20"/>
        </w:rPr>
        <w:t>s</w:t>
      </w:r>
      <w:r w:rsidRPr="00D74185">
        <w:rPr>
          <w:rFonts w:eastAsiaTheme="minorEastAsia" w:cstheme="minorHAnsi"/>
          <w:sz w:val="20"/>
        </w:rPr>
        <w:t>.</w:t>
      </w:r>
    </w:p>
    <w:p w:rsidR="00DF5E3B" w:rsidRPr="00D74185" w:rsidRDefault="00DF5E3B" w:rsidP="00DF5E3B">
      <w:pPr>
        <w:ind w:left="360"/>
        <w:rPr>
          <w:rFonts w:cstheme="minorHAnsi"/>
          <w:sz w:val="20"/>
        </w:rPr>
      </w:pPr>
      <w:r w:rsidRPr="00D74185">
        <w:rPr>
          <w:rFonts w:eastAsiaTheme="minorEastAsia" w:cstheme="minorHAnsi"/>
          <w:sz w:val="20"/>
        </w:rPr>
        <w:t xml:space="preserve">El relleno deberá compactarse hasta alcanzar una densidad mayor al 95% de la Máxima Densidad Seca-M.D.S. del </w:t>
      </w:r>
      <w:proofErr w:type="spellStart"/>
      <w:r w:rsidRPr="00D74185">
        <w:rPr>
          <w:rFonts w:eastAsiaTheme="minorEastAsia" w:cstheme="minorHAnsi"/>
          <w:sz w:val="20"/>
        </w:rPr>
        <w:t>Próctor</w:t>
      </w:r>
      <w:proofErr w:type="spellEnd"/>
      <w:r w:rsidRPr="00D74185">
        <w:rPr>
          <w:rFonts w:eastAsiaTheme="minorEastAsia" w:cstheme="minorHAnsi"/>
          <w:sz w:val="20"/>
        </w:rPr>
        <w:t xml:space="preserve"> Modificado y en el caso que el relleno se vaya a construir hasta el nivel de subrasante, los 0,30 m superiores del relleno serán compactados a una densidad mínima del 100% de la M.D.S. El equipo de compactación será mecánico, pudiendo ser: apisonadores mecánicos, rodillos apisonadores o compactadores vibratorios. </w:t>
      </w:r>
    </w:p>
    <w:p w:rsidR="00DF5E3B" w:rsidRPr="00D74185" w:rsidRDefault="00DF5E3B" w:rsidP="00DF5E3B">
      <w:pPr>
        <w:ind w:left="360"/>
        <w:rPr>
          <w:rFonts w:cstheme="minorHAnsi"/>
          <w:sz w:val="20"/>
        </w:rPr>
      </w:pPr>
      <w:r w:rsidRPr="00D74185">
        <w:rPr>
          <w:rFonts w:eastAsiaTheme="minorEastAsia" w:cstheme="minorHAnsi"/>
          <w:sz w:val="20"/>
        </w:rPr>
        <w:t xml:space="preserve">La elección del equipo dependerá de las condiciones existentes en el lugar y se deberá evitar que el equipo golpee la estructura. No será aceptable la compactación del relleno por medio de anegación o chorros de agua. </w:t>
      </w:r>
    </w:p>
    <w:p w:rsidR="00DF5E3B" w:rsidRPr="00D74185" w:rsidRDefault="00DF5E3B" w:rsidP="00DF5E3B">
      <w:pPr>
        <w:ind w:left="360"/>
        <w:rPr>
          <w:rFonts w:cstheme="minorHAnsi"/>
          <w:sz w:val="20"/>
        </w:rPr>
      </w:pPr>
      <w:r w:rsidRPr="00D74185">
        <w:rPr>
          <w:rFonts w:eastAsiaTheme="minorEastAsia" w:cstheme="minorHAnsi"/>
          <w:sz w:val="20"/>
        </w:rPr>
        <w:t xml:space="preserve">La colocación de las tuberías deberá efectuarse cuando los trabajos de explanaciones hayan alcanzado el nivel de subrasante, por consiguiente, el relleno de estructuras alrededor de la tubería deberá alcanzar el mismo nivel. </w:t>
      </w:r>
    </w:p>
    <w:p w:rsidR="00DF5E3B" w:rsidRDefault="00DF5E3B" w:rsidP="00DF5E3B">
      <w:pPr>
        <w:ind w:left="360"/>
        <w:rPr>
          <w:rFonts w:eastAsiaTheme="minorEastAsia" w:cstheme="minorHAnsi"/>
          <w:sz w:val="20"/>
        </w:rPr>
      </w:pPr>
      <w:r w:rsidRPr="00D74185">
        <w:rPr>
          <w:rFonts w:eastAsiaTheme="minorEastAsia" w:cstheme="minorHAnsi"/>
          <w:sz w:val="20"/>
        </w:rPr>
        <w:t>La altura de relleno mínimo desde la clave de la tubería hasta el nivel de la subrasante será de 0,30m</w:t>
      </w:r>
      <w:r>
        <w:rPr>
          <w:rFonts w:eastAsiaTheme="minorEastAsia" w:cstheme="minorHAnsi"/>
          <w:sz w:val="20"/>
        </w:rPr>
        <w:t xml:space="preserve"> salvo se cuenta con una losa de aproximación sobre el dado</w:t>
      </w:r>
      <w:r w:rsidRPr="00D74185">
        <w:rPr>
          <w:rFonts w:eastAsiaTheme="minorEastAsia" w:cstheme="minorHAnsi"/>
          <w:sz w:val="20"/>
        </w:rPr>
        <w:t xml:space="preserve">. </w:t>
      </w:r>
      <w:r>
        <w:rPr>
          <w:rFonts w:eastAsiaTheme="minorEastAsia" w:cstheme="minorHAnsi"/>
          <w:sz w:val="20"/>
        </w:rPr>
        <w:t xml:space="preserve">En el </w:t>
      </w:r>
      <w:r w:rsidRPr="00D74185">
        <w:rPr>
          <w:rFonts w:eastAsiaTheme="minorEastAsia" w:cstheme="minorHAnsi"/>
          <w:sz w:val="20"/>
        </w:rPr>
        <w:t xml:space="preserve">Manual de Carreteras “Especificaciones Técnicas Generales para Construcción” 985 (EG – 2013) Revisada y Corregida </w:t>
      </w:r>
      <w:r>
        <w:rPr>
          <w:rFonts w:eastAsiaTheme="minorEastAsia" w:cstheme="minorHAnsi"/>
          <w:sz w:val="20"/>
        </w:rPr>
        <w:t>en</w:t>
      </w:r>
      <w:r w:rsidRPr="00D74185">
        <w:rPr>
          <w:rFonts w:eastAsiaTheme="minorEastAsia" w:cstheme="minorHAnsi"/>
          <w:sz w:val="20"/>
        </w:rPr>
        <w:t xml:space="preserve"> junio 2013 </w:t>
      </w:r>
      <w:r>
        <w:rPr>
          <w:rFonts w:eastAsiaTheme="minorEastAsia" w:cstheme="minorHAnsi"/>
          <w:sz w:val="20"/>
        </w:rPr>
        <w:t>indica en</w:t>
      </w:r>
      <w:r w:rsidRPr="00D74185">
        <w:rPr>
          <w:rFonts w:eastAsiaTheme="minorEastAsia" w:cstheme="minorHAnsi"/>
          <w:sz w:val="20"/>
        </w:rPr>
        <w:t xml:space="preserve"> caso excepcional y previa aprobación de la Supervisión, las tuberías podrán colocarse antes que los trabajos de explanaciones hayan concluido. </w:t>
      </w:r>
    </w:p>
    <w:p w:rsidR="005D5AD5" w:rsidRPr="00CA4F08" w:rsidRDefault="005D5AD5" w:rsidP="00DF5E3B">
      <w:pPr>
        <w:ind w:left="360"/>
        <w:rPr>
          <w:rFonts w:cstheme="minorHAnsi"/>
          <w:sz w:val="20"/>
        </w:rPr>
      </w:pPr>
    </w:p>
    <w:p w:rsidR="00DF5E3B" w:rsidRDefault="00DF5E3B" w:rsidP="00DF5E3B">
      <w:pPr>
        <w:pStyle w:val="Prrafodelista"/>
        <w:numPr>
          <w:ilvl w:val="0"/>
          <w:numId w:val="5"/>
        </w:numPr>
        <w:rPr>
          <w:rFonts w:cstheme="minorHAnsi"/>
          <w:b/>
          <w:bCs/>
          <w:sz w:val="20"/>
        </w:rPr>
      </w:pPr>
      <w:r w:rsidRPr="00184E28">
        <w:rPr>
          <w:rFonts w:cstheme="minorHAnsi"/>
          <w:b/>
          <w:bCs/>
          <w:sz w:val="20"/>
        </w:rPr>
        <w:t>Método de medición</w:t>
      </w:r>
    </w:p>
    <w:p w:rsidR="00DF5E3B" w:rsidRPr="00902B40" w:rsidRDefault="00DF5E3B" w:rsidP="00DF5E3B">
      <w:pPr>
        <w:ind w:left="360"/>
        <w:rPr>
          <w:rFonts w:cstheme="minorHAnsi"/>
          <w:sz w:val="20"/>
        </w:rPr>
      </w:pPr>
      <w:r w:rsidRPr="00902B40">
        <w:rPr>
          <w:rFonts w:cstheme="minorHAnsi"/>
          <w:sz w:val="20"/>
        </w:rPr>
        <w:t xml:space="preserve">La unidad de medida será el metro lineal (ml), aproximado al decímetro, de tubería de Polietileno de Alta Densidad (PAD o HDPE), suministrada y colocada de acuerdo con el Proyecto, esta especificación y la aprobación del Supervisor. </w:t>
      </w:r>
    </w:p>
    <w:p w:rsidR="00DF5E3B" w:rsidRDefault="00DF5E3B" w:rsidP="00DF5E3B">
      <w:pPr>
        <w:ind w:left="360"/>
        <w:rPr>
          <w:rFonts w:eastAsia="Kalinga" w:cstheme="minorHAnsi"/>
          <w:sz w:val="20"/>
          <w:lang w:val="es"/>
        </w:rPr>
      </w:pPr>
      <w:r w:rsidRPr="00902B40">
        <w:rPr>
          <w:rFonts w:cstheme="minorHAnsi"/>
          <w:sz w:val="20"/>
        </w:rPr>
        <w:t>La medida se hará entre las caras exteriores de los extremos de la tubería o los cabezales, según el caso, a lo largo del eje longitudinal y siguiendo la pendiente de la tubería</w:t>
      </w:r>
      <w:r>
        <w:rPr>
          <w:rFonts w:cstheme="minorHAnsi"/>
          <w:sz w:val="20"/>
        </w:rPr>
        <w:t>.</w:t>
      </w:r>
    </w:p>
    <w:p w:rsidR="00DF5E3B" w:rsidRDefault="00DF5E3B">
      <w:pPr>
        <w:rPr>
          <w:lang w:val="es-ES"/>
        </w:rPr>
      </w:pPr>
    </w:p>
    <w:p w:rsidR="00DF5E3B" w:rsidRDefault="00DF5E3B">
      <w:pPr>
        <w:rPr>
          <w:lang w:val="es-ES"/>
        </w:rPr>
      </w:pPr>
    </w:p>
    <w:p w:rsidR="000C460A" w:rsidRDefault="000C460A">
      <w:pPr>
        <w:rPr>
          <w:lang w:val="es-ES"/>
        </w:rPr>
      </w:pPr>
    </w:p>
    <w:sectPr w:rsidR="000C46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quot;Arial&quot;,&quot;sans-serif&quot;&quot;,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13F21"/>
    <w:multiLevelType w:val="hybridMultilevel"/>
    <w:tmpl w:val="437AEE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 w15:restartNumberingAfterBreak="0">
    <w:nsid w:val="14CA50A6"/>
    <w:multiLevelType w:val="hybridMultilevel"/>
    <w:tmpl w:val="261C60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C52895"/>
    <w:multiLevelType w:val="hybridMultilevel"/>
    <w:tmpl w:val="417226C8"/>
    <w:lvl w:ilvl="0" w:tplc="4008DC28">
      <w:start w:val="1"/>
      <w:numFmt w:val="bullet"/>
      <w:lvlText w:val=""/>
      <w:lvlJc w:val="left"/>
      <w:pPr>
        <w:ind w:left="720" w:hanging="360"/>
      </w:pPr>
      <w:rPr>
        <w:rFonts w:ascii="Symbol" w:hAnsi="Symbol" w:hint="default"/>
      </w:rPr>
    </w:lvl>
    <w:lvl w:ilvl="1" w:tplc="83B65006">
      <w:start w:val="1"/>
      <w:numFmt w:val="bullet"/>
      <w:lvlText w:val="o"/>
      <w:lvlJc w:val="left"/>
      <w:pPr>
        <w:ind w:left="1440" w:hanging="360"/>
      </w:pPr>
      <w:rPr>
        <w:rFonts w:ascii="Courier New" w:hAnsi="Courier New" w:hint="default"/>
      </w:rPr>
    </w:lvl>
    <w:lvl w:ilvl="2" w:tplc="8FDA1D48">
      <w:start w:val="1"/>
      <w:numFmt w:val="bullet"/>
      <w:lvlText w:val=""/>
      <w:lvlJc w:val="left"/>
      <w:pPr>
        <w:ind w:left="2160" w:hanging="360"/>
      </w:pPr>
      <w:rPr>
        <w:rFonts w:ascii="Wingdings" w:hAnsi="Wingdings" w:hint="default"/>
      </w:rPr>
    </w:lvl>
    <w:lvl w:ilvl="3" w:tplc="C58662B6">
      <w:start w:val="1"/>
      <w:numFmt w:val="bullet"/>
      <w:lvlText w:val=""/>
      <w:lvlJc w:val="left"/>
      <w:pPr>
        <w:ind w:left="2880" w:hanging="360"/>
      </w:pPr>
      <w:rPr>
        <w:rFonts w:ascii="Symbol" w:hAnsi="Symbol" w:hint="default"/>
      </w:rPr>
    </w:lvl>
    <w:lvl w:ilvl="4" w:tplc="4624258A">
      <w:start w:val="1"/>
      <w:numFmt w:val="bullet"/>
      <w:lvlText w:val="o"/>
      <w:lvlJc w:val="left"/>
      <w:pPr>
        <w:ind w:left="3600" w:hanging="360"/>
      </w:pPr>
      <w:rPr>
        <w:rFonts w:ascii="Courier New" w:hAnsi="Courier New" w:hint="default"/>
      </w:rPr>
    </w:lvl>
    <w:lvl w:ilvl="5" w:tplc="9606EA3E">
      <w:start w:val="1"/>
      <w:numFmt w:val="bullet"/>
      <w:lvlText w:val=""/>
      <w:lvlJc w:val="left"/>
      <w:pPr>
        <w:ind w:left="4320" w:hanging="360"/>
      </w:pPr>
      <w:rPr>
        <w:rFonts w:ascii="Wingdings" w:hAnsi="Wingdings" w:hint="default"/>
      </w:rPr>
    </w:lvl>
    <w:lvl w:ilvl="6" w:tplc="D018C32A">
      <w:start w:val="1"/>
      <w:numFmt w:val="bullet"/>
      <w:lvlText w:val=""/>
      <w:lvlJc w:val="left"/>
      <w:pPr>
        <w:ind w:left="5040" w:hanging="360"/>
      </w:pPr>
      <w:rPr>
        <w:rFonts w:ascii="Symbol" w:hAnsi="Symbol" w:hint="default"/>
      </w:rPr>
    </w:lvl>
    <w:lvl w:ilvl="7" w:tplc="A5F638E4">
      <w:start w:val="1"/>
      <w:numFmt w:val="bullet"/>
      <w:lvlText w:val="o"/>
      <w:lvlJc w:val="left"/>
      <w:pPr>
        <w:ind w:left="5760" w:hanging="360"/>
      </w:pPr>
      <w:rPr>
        <w:rFonts w:ascii="Courier New" w:hAnsi="Courier New" w:hint="default"/>
      </w:rPr>
    </w:lvl>
    <w:lvl w:ilvl="8" w:tplc="CBE22086">
      <w:start w:val="1"/>
      <w:numFmt w:val="bullet"/>
      <w:lvlText w:val=""/>
      <w:lvlJc w:val="left"/>
      <w:pPr>
        <w:ind w:left="6480" w:hanging="360"/>
      </w:pPr>
      <w:rPr>
        <w:rFonts w:ascii="Wingdings" w:hAnsi="Wingdings" w:hint="default"/>
      </w:rPr>
    </w:lvl>
  </w:abstractNum>
  <w:abstractNum w:abstractNumId="3" w15:restartNumberingAfterBreak="0">
    <w:nsid w:val="1F454ADD"/>
    <w:multiLevelType w:val="hybridMultilevel"/>
    <w:tmpl w:val="8AC6759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 w15:restartNumberingAfterBreak="0">
    <w:nsid w:val="4B8F70D1"/>
    <w:multiLevelType w:val="hybridMultilevel"/>
    <w:tmpl w:val="8A84500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4F0542BF"/>
    <w:multiLevelType w:val="hybridMultilevel"/>
    <w:tmpl w:val="BA0C16EA"/>
    <w:lvl w:ilvl="0" w:tplc="3FDAF706">
      <w:start w:val="1"/>
      <w:numFmt w:val="decimal"/>
      <w:pStyle w:val="Prrafodelista"/>
      <w:lvlText w:val="%1."/>
      <w:lvlJc w:val="left"/>
      <w:pPr>
        <w:ind w:left="1440" w:hanging="360"/>
      </w:pPr>
      <w:rPr>
        <w:rFonts w:hint="default"/>
        <w:color w:val="E2081E"/>
      </w:rPr>
    </w:lvl>
    <w:lvl w:ilvl="1" w:tplc="12AA5EDA">
      <w:start w:val="1"/>
      <w:numFmt w:val="lowerLetter"/>
      <w:lvlText w:val="%2."/>
      <w:lvlJc w:val="left"/>
      <w:pPr>
        <w:ind w:left="1593" w:hanging="363"/>
      </w:pPr>
      <w:rPr>
        <w:rFonts w:hint="default"/>
      </w:rPr>
    </w:lvl>
    <w:lvl w:ilvl="2" w:tplc="69401980">
      <w:start w:val="1"/>
      <w:numFmt w:val="lowerRoman"/>
      <w:lvlText w:val="%3."/>
      <w:lvlJc w:val="right"/>
      <w:pPr>
        <w:ind w:left="2313" w:firstLine="386"/>
      </w:pPr>
      <w:rPr>
        <w:rFonts w:hint="default"/>
      </w:rPr>
    </w:lvl>
    <w:lvl w:ilvl="3" w:tplc="0C0A000F">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5E0F3DB9"/>
    <w:multiLevelType w:val="hybridMultilevel"/>
    <w:tmpl w:val="A5EA93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4E442E1"/>
    <w:multiLevelType w:val="hybridMultilevel"/>
    <w:tmpl w:val="D16EF058"/>
    <w:lvl w:ilvl="0" w:tplc="E43A0F82">
      <w:start w:val="1"/>
      <w:numFmt w:val="bullet"/>
      <w:lvlText w:val="-"/>
      <w:lvlJc w:val="left"/>
      <w:pPr>
        <w:ind w:left="360" w:hanging="360"/>
      </w:pPr>
      <w:rPr>
        <w:rFonts w:ascii="&quot;&quot;Arial&quot;,&quot;sans-serif&quot;&quot;,serif" w:hAnsi="&quot;&quot;Arial&quot;,&quot;sans-serif&quot;&quot;,serif" w:hint="default"/>
      </w:rPr>
    </w:lvl>
    <w:lvl w:ilvl="1" w:tplc="6FD23E6A">
      <w:start w:val="1"/>
      <w:numFmt w:val="bullet"/>
      <w:lvlText w:val="o"/>
      <w:lvlJc w:val="left"/>
      <w:pPr>
        <w:ind w:left="1080" w:hanging="360"/>
      </w:pPr>
      <w:rPr>
        <w:rFonts w:ascii="Courier New" w:hAnsi="Courier New" w:hint="default"/>
      </w:rPr>
    </w:lvl>
    <w:lvl w:ilvl="2" w:tplc="C0ECB128">
      <w:start w:val="1"/>
      <w:numFmt w:val="bullet"/>
      <w:lvlText w:val=""/>
      <w:lvlJc w:val="left"/>
      <w:pPr>
        <w:ind w:left="1800" w:hanging="360"/>
      </w:pPr>
      <w:rPr>
        <w:rFonts w:ascii="Wingdings" w:hAnsi="Wingdings" w:hint="default"/>
      </w:rPr>
    </w:lvl>
    <w:lvl w:ilvl="3" w:tplc="DD14EB0A">
      <w:start w:val="1"/>
      <w:numFmt w:val="bullet"/>
      <w:lvlText w:val=""/>
      <w:lvlJc w:val="left"/>
      <w:pPr>
        <w:ind w:left="2520" w:hanging="360"/>
      </w:pPr>
      <w:rPr>
        <w:rFonts w:ascii="Symbol" w:hAnsi="Symbol" w:hint="default"/>
      </w:rPr>
    </w:lvl>
    <w:lvl w:ilvl="4" w:tplc="7F987F6C">
      <w:start w:val="1"/>
      <w:numFmt w:val="bullet"/>
      <w:lvlText w:val="o"/>
      <w:lvlJc w:val="left"/>
      <w:pPr>
        <w:ind w:left="3240" w:hanging="360"/>
      </w:pPr>
      <w:rPr>
        <w:rFonts w:ascii="Courier New" w:hAnsi="Courier New" w:hint="default"/>
      </w:rPr>
    </w:lvl>
    <w:lvl w:ilvl="5" w:tplc="C67406B2">
      <w:start w:val="1"/>
      <w:numFmt w:val="bullet"/>
      <w:lvlText w:val=""/>
      <w:lvlJc w:val="left"/>
      <w:pPr>
        <w:ind w:left="3960" w:hanging="360"/>
      </w:pPr>
      <w:rPr>
        <w:rFonts w:ascii="Wingdings" w:hAnsi="Wingdings" w:hint="default"/>
      </w:rPr>
    </w:lvl>
    <w:lvl w:ilvl="6" w:tplc="5A5E42B0">
      <w:start w:val="1"/>
      <w:numFmt w:val="bullet"/>
      <w:lvlText w:val=""/>
      <w:lvlJc w:val="left"/>
      <w:pPr>
        <w:ind w:left="4680" w:hanging="360"/>
      </w:pPr>
      <w:rPr>
        <w:rFonts w:ascii="Symbol" w:hAnsi="Symbol" w:hint="default"/>
      </w:rPr>
    </w:lvl>
    <w:lvl w:ilvl="7" w:tplc="D0F837CA">
      <w:start w:val="1"/>
      <w:numFmt w:val="bullet"/>
      <w:lvlText w:val="o"/>
      <w:lvlJc w:val="left"/>
      <w:pPr>
        <w:ind w:left="5400" w:hanging="360"/>
      </w:pPr>
      <w:rPr>
        <w:rFonts w:ascii="Courier New" w:hAnsi="Courier New" w:hint="default"/>
      </w:rPr>
    </w:lvl>
    <w:lvl w:ilvl="8" w:tplc="93A6D85C">
      <w:start w:val="1"/>
      <w:numFmt w:val="bullet"/>
      <w:lvlText w:val=""/>
      <w:lvlJc w:val="left"/>
      <w:pPr>
        <w:ind w:left="6120" w:hanging="360"/>
      </w:pPr>
      <w:rPr>
        <w:rFonts w:ascii="Wingdings" w:hAnsi="Wingdings" w:hint="default"/>
      </w:rPr>
    </w:lvl>
  </w:abstractNum>
  <w:abstractNum w:abstractNumId="8" w15:restartNumberingAfterBreak="0">
    <w:nsid w:val="7CE5429A"/>
    <w:multiLevelType w:val="hybridMultilevel"/>
    <w:tmpl w:val="BB289C7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2"/>
  </w:num>
  <w:num w:numId="4">
    <w:abstractNumId w:val="7"/>
  </w:num>
  <w:num w:numId="5">
    <w:abstractNumId w:val="1"/>
  </w:num>
  <w:num w:numId="6">
    <w:abstractNumId w:val="3"/>
  </w:num>
  <w:num w:numId="7">
    <w:abstractNumId w:val="4"/>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E3B"/>
    <w:rsid w:val="000C460A"/>
    <w:rsid w:val="003E64F4"/>
    <w:rsid w:val="00441887"/>
    <w:rsid w:val="004D462B"/>
    <w:rsid w:val="005D5AD5"/>
    <w:rsid w:val="00700CFC"/>
    <w:rsid w:val="007A45CD"/>
    <w:rsid w:val="0094055C"/>
    <w:rsid w:val="00962061"/>
    <w:rsid w:val="00AB6DA3"/>
    <w:rsid w:val="00C73508"/>
    <w:rsid w:val="00D76CBE"/>
    <w:rsid w:val="00DF5E3B"/>
    <w:rsid w:val="00F0383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E733D-821B-46B5-9CF1-EC8D27F5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árrafo de lista TYPSA,fuente,List Paragraph (numbered (a)),Cuadro 2-1,Párrafo de lista2,Párrafo de lista21,Viñeta,TITULO A,SCap1,Titulo de Fígura,Bulleted List,Fundamentacion,Iz - Párrafo de lista,Sivsa Parrafo,Conclusiones,Bolita,BOLA"/>
    <w:basedOn w:val="Normal"/>
    <w:link w:val="PrrafodelistaCar"/>
    <w:uiPriority w:val="34"/>
    <w:qFormat/>
    <w:rsid w:val="00DF5E3B"/>
    <w:pPr>
      <w:numPr>
        <w:numId w:val="1"/>
      </w:numPr>
      <w:spacing w:after="200" w:line="264" w:lineRule="auto"/>
      <w:contextualSpacing/>
      <w:jc w:val="both"/>
    </w:pPr>
    <w:rPr>
      <w:kern w:val="0"/>
      <w:sz w:val="19"/>
      <w:szCs w:val="20"/>
      <w14:ligatures w14:val="none"/>
    </w:rPr>
  </w:style>
  <w:style w:type="character" w:customStyle="1" w:styleId="PrrafodelistaCar">
    <w:name w:val="Párrafo de lista Car"/>
    <w:aliases w:val="Párrafo de lista TYPSA Car,fuente Car,List Paragraph (numbered (a)) Car,Cuadro 2-1 Car,Párrafo de lista2 Car,Párrafo de lista21 Car,Viñeta Car,TITULO A Car,SCap1 Car,Titulo de Fígura Car,Bulleted List Car,Fundamentacion Car,BOLA Car"/>
    <w:basedOn w:val="Fuentedeprrafopredeter"/>
    <w:link w:val="Prrafodelista"/>
    <w:uiPriority w:val="34"/>
    <w:qFormat/>
    <w:rsid w:val="00DF5E3B"/>
    <w:rPr>
      <w:kern w:val="0"/>
      <w:sz w:val="19"/>
      <w:szCs w:val="20"/>
      <w14:ligatures w14:val="none"/>
    </w:rPr>
  </w:style>
  <w:style w:type="paragraph" w:customStyle="1" w:styleId="para">
    <w:name w:val="para"/>
    <w:basedOn w:val="Normal"/>
    <w:rsid w:val="00DF5E3B"/>
    <w:pPr>
      <w:spacing w:after="120" w:line="240" w:lineRule="auto"/>
      <w:jc w:val="both"/>
    </w:pPr>
    <w:rPr>
      <w:rFonts w:ascii="Times New Roman" w:eastAsia="Times New Roman" w:hAnsi="Times New Roman" w:cs="Times New Roman"/>
      <w:kern w:val="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ctor xmlns="4f12be28-384d-4657-b706-d7991d42fb93" xsi:nil="true"/>
    <RevisionEdicion xmlns="4f12be28-384d-4657-b706-d7991d42fb93" xsi:nil="true"/>
    <EstadoDoc xmlns="4f12be28-384d-4657-b706-d7991d42fb93" xsi:nil="true"/>
    <lcf76f155ced4ddcb4097134ff3c332f xmlns="2732fcda-7dd4-412e-966a-40683c3b06fe">
      <Terms xmlns="http://schemas.microsoft.com/office/infopath/2007/PartnerControls"/>
    </lcf76f155ced4ddcb4097134ff3c332f>
    <Disciplina xmlns="4f12be28-384d-4657-b706-d7991d42fb93" xsi:nil="true"/>
    <TipoDocumento xmlns="4f12be28-384d-4657-b706-d7991d42fb93" xsi:nil="true"/>
    <_Flow_SignoffStatus xmlns="2732fcda-7dd4-412e-966a-40683c3b06fe" xsi:nil="true"/>
    <TaxCatchAll xmlns="4f12be28-384d-4657-b706-d7991d42fb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TYPSA" ma:contentTypeID="0x01010060C10A46D615B94CAE0801A33BCAEC0000BF8563D445B9994095A7C8D3FF7A074D" ma:contentTypeVersion="25" ma:contentTypeDescription="Crear nuevo documento." ma:contentTypeScope="" ma:versionID="b44986d0e6e47c2810a7dfc1cdd2b735">
  <xsd:schema xmlns:xsd="http://www.w3.org/2001/XMLSchema" xmlns:xs="http://www.w3.org/2001/XMLSchema" xmlns:p="http://schemas.microsoft.com/office/2006/metadata/properties" xmlns:ns2="4f12be28-384d-4657-b706-d7991d42fb93" xmlns:ns3="2732fcda-7dd4-412e-966a-40683c3b06fe" targetNamespace="http://schemas.microsoft.com/office/2006/metadata/properties" ma:root="true" ma:fieldsID="d4208f8a7608a4d88d1043f78041f2fc" ns2:_="" ns3:_="">
    <xsd:import namespace="4f12be28-384d-4657-b706-d7991d42fb93"/>
    <xsd:import namespace="2732fcda-7dd4-412e-966a-40683c3b06fe"/>
    <xsd:element name="properties">
      <xsd:complexType>
        <xsd:sequence>
          <xsd:element name="documentManagement">
            <xsd:complexType>
              <xsd:all>
                <xsd:element ref="ns2:EstadoDoc" minOccurs="0"/>
                <xsd:element ref="ns2:TipoDocumento" minOccurs="0"/>
                <xsd:element ref="ns2:Disciplina" minOccurs="0"/>
                <xsd:element ref="ns2:Sector" minOccurs="0"/>
                <xsd:element ref="ns2:RevisionEdicion"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Location" minOccurs="0"/>
                <xsd:element ref="ns3:lcf76f155ced4ddcb4097134ff3c332f" minOccurs="0"/>
                <xsd:element ref="ns2: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2be28-384d-4657-b706-d7991d42fb93" elementFormDefault="qualified">
    <xsd:import namespace="http://schemas.microsoft.com/office/2006/documentManagement/types"/>
    <xsd:import namespace="http://schemas.microsoft.com/office/infopath/2007/PartnerControls"/>
    <xsd:element name="EstadoDoc" ma:index="8" nillable="true" ma:displayName="EstadoDoc" ma:format="Dropdown" ma:internalName="EstadoDoc">
      <xsd:simpleType>
        <xsd:restriction base="dms:Choice">
          <xsd:enumeration value="PARA INFORMACION"/>
          <xsd:enumeration value="PARA IMPLEMENTACION"/>
          <xsd:enumeration value="B - RECHAZADO POR OHLA"/>
          <xsd:enumeration value="A - ACEPTADO POR ARCC"/>
          <xsd:enumeration value="B - ACEPTADO CON COMENTARIOS POR ARCC"/>
          <xsd:enumeration value="C - RECHAZADO POR ARCC"/>
        </xsd:restriction>
      </xsd:simpleType>
    </xsd:element>
    <xsd:element name="TipoDocumento" ma:index="9" nillable="true" ma:displayName="TipoDocumento" ma:format="Dropdown" ma:internalName="TipoDocumento" ma:readOnly="false">
      <xsd:simpleType>
        <xsd:restriction base="dms:Choice">
          <xsd:enumeration value="Memoria"/>
          <xsd:enumeration value="Anejo"/>
          <xsd:enumeration value="Pliego"/>
          <xsd:enumeration value="Plano"/>
          <xsd:enumeration value="Mediciones"/>
          <xsd:enumeration value="Presupuesto"/>
          <xsd:enumeration value="Estudio de Seguridad y Salud"/>
          <xsd:enumeration value="Estudio de Impacto Ambiental"/>
          <xsd:enumeration value="Informe o estudio(genérico)"/>
          <xsd:enumeration value="Modelo"/>
          <xsd:enumeration value="Modelo federado"/>
          <xsd:enumeration value="Modelo 3d"/>
          <xsd:enumeration value="Modelo 2d"/>
          <xsd:enumeration value="Modelo de visualización"/>
          <xsd:enumeration value="Presentación"/>
          <xsd:enumeration value="Plan de calidad"/>
          <xsd:enumeration value="Planificación de trabajos"/>
          <xsd:enumeration value="Requerimiento de información"/>
          <xsd:enumeration value="Dato de partida"/>
          <xsd:enumeration value="Acta de reunión"/>
        </xsd:restriction>
      </xsd:simpleType>
    </xsd:element>
    <xsd:element name="Disciplina" ma:index="10" nillable="true" ma:displayName="Disciplina" ma:format="Dropdown" ma:internalName="Disciplina">
      <xsd:simpleType>
        <xsd:restriction base="dms:Choice">
          <xsd:enumeration value="Aeropuertos"/>
          <xsd:enumeration value="Expropiaciones"/>
          <xsd:enumeration value="Edificions y ciudades"/>
          <xsd:enumeration value="Calidad"/>
          <xsd:enumeration value="Carreteras"/>
          <xsd:enumeration value="Desarrollo informático"/>
          <xsd:enumeration value="Edificación"/>
          <xsd:enumeration value="Estructuras"/>
          <xsd:enumeration value="Ferrocarriles y metros"/>
          <xsd:enumeration value="Gestión de infraestructuras"/>
          <xsd:enumeration value="Geologia y geotecnia"/>
          <xsd:enumeration value="Gestión integral"/>
          <xsd:enumeration value="Ingeniería del agua"/>
          <xsd:enumeration value="I+D+i"/>
          <xsd:enumeration value="Estadistica, encuestas y censos(TEyS)"/>
          <xsd:enumeration value="Varios"/>
          <xsd:enumeration value="Minería"/>
          <xsd:enumeration value="Tecnologías de la información"/>
          <xsd:enumeration value="Instalaciones"/>
          <xsd:enumeration value="Medio ambiente"/>
          <xsd:enumeration value="obras lineales"/>
          <xsd:enumeration value="Obras Hidráulicas"/>
          <xsd:enumeration value="Puertos y costas"/>
          <xsd:enumeration value="Supervisión de obras"/>
          <xsd:enumeration value="Transportes y economía"/>
          <xsd:enumeration value="Desarrollo urbano"/>
          <xsd:enumeration value="Ernergía eólica"/>
          <xsd:enumeration value="Energía solar"/>
          <xsd:enumeration value="Servicio de Prevención"/>
          <xsd:enumeration value="Redes urbanas y tratamientos"/>
          <xsd:enumeration value="Laboratorio"/>
          <xsd:enumeration value="Consultoria y evaluación ambiental"/>
          <xsd:enumeration value="Seguridad y Salud"/>
          <xsd:enumeration value="Gestion territorial y Servicios(TEyS)"/>
          <xsd:enumeration value="BIM"/>
          <xsd:enumeration value="Recursos(TEyS)"/>
        </xsd:restriction>
      </xsd:simpleType>
    </xsd:element>
    <xsd:element name="Sector" ma:index="11" nillable="true" ma:displayName="Sector" ma:format="Dropdown" ma:internalName="Sector">
      <xsd:simpleType>
        <xsd:restriction base="dms:Choice">
          <xsd:enumeration value="CASMA"/>
          <xsd:enumeration value="HUARMEY"/>
        </xsd:restriction>
      </xsd:simpleType>
    </xsd:element>
    <xsd:element name="RevisionEdicion" ma:index="12" nillable="true" ma:displayName="RevisionEdicion" ma:internalName="RevisionEdicion">
      <xsd:simpleType>
        <xsd:restriction base="dms:Text">
          <xsd:maxLength value="255"/>
        </xsd:restriction>
      </xsd:simple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6" nillable="true" ma:displayName="Taxonomy Catch All Column" ma:hidden="true" ma:list="{5ab51d1f-fff5-4348-8904-5c61c7af0825}" ma:internalName="TaxCatchAll" ma:showField="CatchAllData" ma:web="4f12be28-384d-4657-b706-d7991d42fb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32fcda-7dd4-412e-966a-40683c3b06fe" elementFormDefault="qualified">
    <xsd:import namespace="http://schemas.microsoft.com/office/2006/documentManagement/types"/>
    <xsd:import namespace="http://schemas.microsoft.com/office/infopath/2007/PartnerControls"/>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556e139c-3976-4f37-8cfc-4ca6bb14bca7"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4CD7C5-E70E-479E-8B03-668A0A1D9721}">
  <ds:schemaRefs>
    <ds:schemaRef ds:uri="http://schemas.microsoft.com/office/2006/metadata/properties"/>
    <ds:schemaRef ds:uri="http://schemas.microsoft.com/office/infopath/2007/PartnerControls"/>
    <ds:schemaRef ds:uri="4f12be28-384d-4657-b706-d7991d42fb93"/>
    <ds:schemaRef ds:uri="2732fcda-7dd4-412e-966a-40683c3b06fe"/>
  </ds:schemaRefs>
</ds:datastoreItem>
</file>

<file path=customXml/itemProps2.xml><?xml version="1.0" encoding="utf-8"?>
<ds:datastoreItem xmlns:ds="http://schemas.openxmlformats.org/officeDocument/2006/customXml" ds:itemID="{E7F553DB-7022-4C3C-A896-1B4A96273BDE}">
  <ds:schemaRefs>
    <ds:schemaRef ds:uri="http://schemas.microsoft.com/sharepoint/v3/contenttype/forms"/>
  </ds:schemaRefs>
</ds:datastoreItem>
</file>

<file path=customXml/itemProps3.xml><?xml version="1.0" encoding="utf-8"?>
<ds:datastoreItem xmlns:ds="http://schemas.openxmlformats.org/officeDocument/2006/customXml" ds:itemID="{B31245FF-C225-4EEC-8DC1-97ECC6CB8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2be28-384d-4657-b706-d7991d42fb93"/>
    <ds:schemaRef ds:uri="2732fcda-7dd4-412e-966a-40683c3b0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1872</Words>
  <Characters>10296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QUILLUYA CCANCCE JOSE JOEL</dc:creator>
  <cp:keywords/>
  <dc:description/>
  <cp:lastModifiedBy>Carlos Eduardo Gutierrez Campos</cp:lastModifiedBy>
  <cp:revision>4</cp:revision>
  <dcterms:created xsi:type="dcterms:W3CDTF">2024-01-18T11:10:00Z</dcterms:created>
  <dcterms:modified xsi:type="dcterms:W3CDTF">2024-01-18T11:48:00Z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0x01010060C10A46D615B94CAE0801A33BCAEC0000BF8563D445B9994095A7C8D3FF7A074D</vt:lpwstr>
  </property>
</Properties>
</file>